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2D" w:rsidRPr="00266C02" w:rsidRDefault="00685A2D" w:rsidP="00266C02">
      <w:pPr>
        <w:spacing w:after="0"/>
        <w:jc w:val="both"/>
        <w:rPr>
          <w:rFonts w:ascii="Book Antiqua" w:hAnsi="Book Antiqua"/>
          <w:sz w:val="18"/>
          <w:szCs w:val="18"/>
        </w:rPr>
      </w:pPr>
    </w:p>
    <w:p w:rsidR="00685A2D" w:rsidRDefault="00685A2D" w:rsidP="00685A2D">
      <w:pPr>
        <w:spacing w:after="0"/>
        <w:jc w:val="center"/>
        <w:rPr>
          <w:rFonts w:ascii="Book Antiqua" w:hAnsi="Book Antiqua"/>
          <w:i/>
          <w:color w:val="365F91" w:themeColor="accent1" w:themeShade="BF"/>
        </w:rPr>
      </w:pPr>
      <w:r>
        <w:rPr>
          <w:noProof/>
        </w:rPr>
        <w:drawing>
          <wp:inline distT="0" distB="0" distL="0" distR="0" wp14:anchorId="48EC351C" wp14:editId="28BE460C">
            <wp:extent cx="2124075" cy="9753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647" cy="99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2D" w:rsidRDefault="00685A2D" w:rsidP="00685A2D">
      <w:pPr>
        <w:jc w:val="center"/>
        <w:rPr>
          <w:rFonts w:ascii="Book Antiqua" w:hAnsi="Book Antiqua"/>
          <w:i/>
          <w:color w:val="365F91" w:themeColor="accent1" w:themeShade="BF"/>
        </w:rPr>
      </w:pPr>
      <w:r w:rsidRPr="00FF579D">
        <w:rPr>
          <w:rFonts w:ascii="Book Antiqua" w:hAnsi="Book Antiqua"/>
          <w:i/>
          <w:color w:val="365F91" w:themeColor="accent1" w:themeShade="BF"/>
        </w:rPr>
        <w:t>College Success</w:t>
      </w:r>
      <w:r w:rsidRPr="00FF579D">
        <w:rPr>
          <w:rFonts w:ascii="Book Antiqua" w:hAnsi="Book Antiqua"/>
          <w:i/>
          <w:color w:val="365F91" w:themeColor="accent1" w:themeShade="BF"/>
        </w:rPr>
        <w:tab/>
      </w:r>
      <w:r w:rsidRPr="00FF579D">
        <w:rPr>
          <w:rFonts w:ascii="Book Antiqua" w:hAnsi="Book Antiqua"/>
          <w:i/>
          <w:color w:val="365F91" w:themeColor="accent1" w:themeShade="BF"/>
        </w:rPr>
        <w:tab/>
        <w:t>Civic Engagement</w:t>
      </w:r>
      <w:r w:rsidRPr="00FF579D">
        <w:rPr>
          <w:rFonts w:ascii="Book Antiqua" w:hAnsi="Book Antiqua"/>
          <w:i/>
          <w:color w:val="365F91" w:themeColor="accent1" w:themeShade="BF"/>
        </w:rPr>
        <w:tab/>
        <w:t>Leadership Development</w:t>
      </w:r>
      <w:r w:rsidRPr="00FF579D">
        <w:rPr>
          <w:rFonts w:ascii="Book Antiqua" w:hAnsi="Book Antiqua"/>
          <w:i/>
          <w:color w:val="365F91" w:themeColor="accent1" w:themeShade="BF"/>
        </w:rPr>
        <w:tab/>
        <w:t>Career Discovery</w:t>
      </w:r>
    </w:p>
    <w:p w:rsidR="009527D8" w:rsidRDefault="009527D8" w:rsidP="00266C02">
      <w:pPr>
        <w:rPr>
          <w:rFonts w:ascii="Book Antiqua" w:hAnsi="Book Antiqua"/>
          <w:color w:val="365F91" w:themeColor="accent1" w:themeShade="BF"/>
        </w:rPr>
      </w:pPr>
    </w:p>
    <w:p w:rsidR="00685A2D" w:rsidRDefault="00784933" w:rsidP="00266C02">
      <w:p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Board of Directors statement regarding </w:t>
      </w:r>
      <w:r w:rsidR="00595551">
        <w:rPr>
          <w:rFonts w:ascii="Book Antiqua" w:hAnsi="Book Antiqua"/>
          <w:color w:val="365F91" w:themeColor="accent1" w:themeShade="BF"/>
        </w:rPr>
        <w:t>the need for</w:t>
      </w:r>
      <w:r>
        <w:rPr>
          <w:rFonts w:ascii="Book Antiqua" w:hAnsi="Book Antiqua"/>
          <w:color w:val="365F91" w:themeColor="accent1" w:themeShade="BF"/>
        </w:rPr>
        <w:t xml:space="preserve"> audited financial statement:</w:t>
      </w:r>
    </w:p>
    <w:p w:rsidR="00266C02" w:rsidRDefault="00266C02" w:rsidP="00266C02">
      <w:p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The Board recognizes that </w:t>
      </w:r>
      <w:r w:rsidR="009527D8">
        <w:rPr>
          <w:rFonts w:ascii="Book Antiqua" w:hAnsi="Book Antiqua"/>
          <w:color w:val="365F91" w:themeColor="accent1" w:themeShade="BF"/>
        </w:rPr>
        <w:t>accurate</w:t>
      </w:r>
      <w:r>
        <w:rPr>
          <w:rFonts w:ascii="Book Antiqua" w:hAnsi="Book Antiqua"/>
          <w:color w:val="365F91" w:themeColor="accent1" w:themeShade="BF"/>
        </w:rPr>
        <w:t xml:space="preserve"> financial statements </w:t>
      </w:r>
      <w:r w:rsidR="009527D8">
        <w:rPr>
          <w:rFonts w:ascii="Book Antiqua" w:hAnsi="Book Antiqua"/>
          <w:color w:val="365F91" w:themeColor="accent1" w:themeShade="BF"/>
        </w:rPr>
        <w:t>are</w:t>
      </w:r>
      <w:r>
        <w:rPr>
          <w:rFonts w:ascii="Book Antiqua" w:hAnsi="Book Antiqua"/>
          <w:color w:val="365F91" w:themeColor="accent1" w:themeShade="BF"/>
        </w:rPr>
        <w:t xml:space="preserve"> </w:t>
      </w:r>
      <w:r w:rsidR="009527D8">
        <w:rPr>
          <w:rFonts w:ascii="Book Antiqua" w:hAnsi="Book Antiqua"/>
          <w:color w:val="365F91" w:themeColor="accent1" w:themeShade="BF"/>
        </w:rPr>
        <w:t xml:space="preserve">an </w:t>
      </w:r>
      <w:r>
        <w:rPr>
          <w:rFonts w:ascii="Book Antiqua" w:hAnsi="Book Antiqua"/>
          <w:color w:val="365F91" w:themeColor="accent1" w:themeShade="BF"/>
        </w:rPr>
        <w:t>important</w:t>
      </w:r>
      <w:r w:rsidR="009527D8">
        <w:rPr>
          <w:rFonts w:ascii="Book Antiqua" w:hAnsi="Book Antiqua"/>
          <w:color w:val="365F91" w:themeColor="accent1" w:themeShade="BF"/>
        </w:rPr>
        <w:t xml:space="preserve"> part of overall governance</w:t>
      </w:r>
      <w:r w:rsidR="00784933">
        <w:rPr>
          <w:rFonts w:ascii="Book Antiqua" w:hAnsi="Book Antiqua"/>
          <w:color w:val="365F91" w:themeColor="accent1" w:themeShade="BF"/>
        </w:rPr>
        <w:t xml:space="preserve"> </w:t>
      </w:r>
      <w:r w:rsidR="00595551">
        <w:rPr>
          <w:rFonts w:ascii="Book Antiqua" w:hAnsi="Book Antiqua"/>
          <w:color w:val="365F91" w:themeColor="accent1" w:themeShade="BF"/>
        </w:rPr>
        <w:t xml:space="preserve">of the </w:t>
      </w:r>
      <w:r w:rsidR="00784933">
        <w:rPr>
          <w:rFonts w:ascii="Book Antiqua" w:hAnsi="Book Antiqua"/>
          <w:color w:val="365F91" w:themeColor="accent1" w:themeShade="BF"/>
        </w:rPr>
        <w:t>organization and a key component of the Board’s responsibility</w:t>
      </w:r>
      <w:r>
        <w:rPr>
          <w:rFonts w:ascii="Book Antiqua" w:hAnsi="Book Antiqua"/>
          <w:color w:val="365F91" w:themeColor="accent1" w:themeShade="BF"/>
        </w:rPr>
        <w:t xml:space="preserve">.  The Board also recognizes </w:t>
      </w:r>
      <w:r w:rsidR="00784933">
        <w:rPr>
          <w:rFonts w:ascii="Book Antiqua" w:hAnsi="Book Antiqua"/>
          <w:color w:val="365F91" w:themeColor="accent1" w:themeShade="BF"/>
        </w:rPr>
        <w:t xml:space="preserve">that the unique </w:t>
      </w:r>
      <w:r w:rsidR="00A51A39">
        <w:rPr>
          <w:rFonts w:ascii="Book Antiqua" w:hAnsi="Book Antiqua"/>
          <w:color w:val="365F91" w:themeColor="accent1" w:themeShade="BF"/>
        </w:rPr>
        <w:t>financial situation of the organization requires careful evaluation of all expenditures.</w:t>
      </w:r>
      <w:r>
        <w:rPr>
          <w:rFonts w:ascii="Book Antiqua" w:hAnsi="Book Antiqua"/>
          <w:color w:val="365F91" w:themeColor="accent1" w:themeShade="BF"/>
        </w:rPr>
        <w:t xml:space="preserve">  </w:t>
      </w:r>
      <w:r w:rsidR="00A51A39">
        <w:rPr>
          <w:rFonts w:ascii="Book Antiqua" w:hAnsi="Book Antiqua"/>
          <w:color w:val="365F91" w:themeColor="accent1" w:themeShade="BF"/>
        </w:rPr>
        <w:t>Although the annual budget of the organization is $</w:t>
      </w:r>
      <w:r w:rsidR="004764AF">
        <w:rPr>
          <w:rFonts w:ascii="Book Antiqua" w:hAnsi="Book Antiqua"/>
          <w:color w:val="365F91" w:themeColor="accent1" w:themeShade="BF"/>
        </w:rPr>
        <w:t>322,000</w:t>
      </w:r>
      <w:r w:rsidR="00A51A39">
        <w:rPr>
          <w:rFonts w:ascii="Book Antiqua" w:hAnsi="Book Antiqua"/>
          <w:color w:val="365F91" w:themeColor="accent1" w:themeShade="BF"/>
        </w:rPr>
        <w:t>, more than $</w:t>
      </w:r>
      <w:r w:rsidR="00705A6D">
        <w:rPr>
          <w:rFonts w:ascii="Book Antiqua" w:hAnsi="Book Antiqua"/>
          <w:color w:val="365F91" w:themeColor="accent1" w:themeShade="BF"/>
        </w:rPr>
        <w:t>177,000</w:t>
      </w:r>
      <w:r w:rsidR="00A51A39">
        <w:rPr>
          <w:rFonts w:ascii="Book Antiqua" w:hAnsi="Book Antiqua"/>
          <w:color w:val="365F91" w:themeColor="accent1" w:themeShade="BF"/>
        </w:rPr>
        <w:t xml:space="preserve"> of this amount is in the form of contributions in kind, cash contributions by </w:t>
      </w:r>
      <w:r w:rsidR="007660F6">
        <w:rPr>
          <w:rFonts w:ascii="Book Antiqua" w:hAnsi="Book Antiqua"/>
          <w:color w:val="365F91" w:themeColor="accent1" w:themeShade="BF"/>
        </w:rPr>
        <w:t xml:space="preserve">the Board and the </w:t>
      </w:r>
      <w:r w:rsidR="00595551">
        <w:rPr>
          <w:rFonts w:ascii="Book Antiqua" w:hAnsi="Book Antiqua"/>
          <w:color w:val="365F91" w:themeColor="accent1" w:themeShade="BF"/>
        </w:rPr>
        <w:t>Executive D</w:t>
      </w:r>
      <w:r w:rsidR="00A51A39">
        <w:rPr>
          <w:rFonts w:ascii="Book Antiqua" w:hAnsi="Book Antiqua"/>
          <w:color w:val="365F91" w:themeColor="accent1" w:themeShade="BF"/>
        </w:rPr>
        <w:t>irector</w:t>
      </w:r>
      <w:r w:rsidR="007660F6">
        <w:rPr>
          <w:rFonts w:ascii="Book Antiqua" w:hAnsi="Book Antiqua"/>
          <w:color w:val="365F91" w:themeColor="accent1" w:themeShade="BF"/>
        </w:rPr>
        <w:t>,</w:t>
      </w:r>
      <w:r w:rsidR="00A51A39">
        <w:rPr>
          <w:rFonts w:ascii="Book Antiqua" w:hAnsi="Book Antiqua"/>
          <w:color w:val="365F91" w:themeColor="accent1" w:themeShade="BF"/>
        </w:rPr>
        <w:t xml:space="preserve"> and waiver of compensation by the executive director.  Actual cash funding b</w:t>
      </w:r>
      <w:r w:rsidR="007660F6">
        <w:rPr>
          <w:rFonts w:ascii="Book Antiqua" w:hAnsi="Book Antiqua"/>
          <w:color w:val="365F91" w:themeColor="accent1" w:themeShade="BF"/>
        </w:rPr>
        <w:t>y non-executive, non-board sources is less than $</w:t>
      </w:r>
      <w:r w:rsidR="009A644B">
        <w:rPr>
          <w:rFonts w:ascii="Book Antiqua" w:hAnsi="Book Antiqua"/>
          <w:color w:val="365F91" w:themeColor="accent1" w:themeShade="BF"/>
        </w:rPr>
        <w:t>145,000</w:t>
      </w:r>
      <w:r w:rsidR="007660F6">
        <w:rPr>
          <w:rFonts w:ascii="Book Antiqua" w:hAnsi="Book Antiqua"/>
          <w:color w:val="365F91" w:themeColor="accent1" w:themeShade="BF"/>
        </w:rPr>
        <w:t xml:space="preserve">.  </w:t>
      </w:r>
      <w:r w:rsidR="00595551">
        <w:rPr>
          <w:rFonts w:ascii="Book Antiqua" w:hAnsi="Book Antiqua"/>
          <w:color w:val="365F91" w:themeColor="accent1" w:themeShade="BF"/>
        </w:rPr>
        <w:t>On this basis the Board has determined that an expenditure of $10,00</w:t>
      </w:r>
      <w:r w:rsidR="001F6B8D">
        <w:rPr>
          <w:rFonts w:ascii="Book Antiqua" w:hAnsi="Book Antiqua"/>
          <w:color w:val="365F91" w:themeColor="accent1" w:themeShade="BF"/>
        </w:rPr>
        <w:t>0</w:t>
      </w:r>
      <w:r w:rsidR="00595551">
        <w:rPr>
          <w:rFonts w:ascii="Book Antiqua" w:hAnsi="Book Antiqua"/>
          <w:color w:val="365F91" w:themeColor="accent1" w:themeShade="BF"/>
        </w:rPr>
        <w:t xml:space="preserve"> on an </w:t>
      </w:r>
      <w:r w:rsidR="00560B60">
        <w:rPr>
          <w:rFonts w:ascii="Book Antiqua" w:hAnsi="Book Antiqua"/>
          <w:color w:val="365F91" w:themeColor="accent1" w:themeShade="BF"/>
        </w:rPr>
        <w:t xml:space="preserve">Audit is a poor use of the </w:t>
      </w:r>
      <w:r w:rsidR="00560B60" w:rsidRPr="00975476">
        <w:rPr>
          <w:rFonts w:ascii="Book Antiqua" w:hAnsi="Book Antiqua"/>
          <w:color w:val="365F91" w:themeColor="accent1" w:themeShade="BF"/>
        </w:rPr>
        <w:t>organization</w:t>
      </w:r>
      <w:r w:rsidR="00562120" w:rsidRPr="00975476">
        <w:rPr>
          <w:rFonts w:ascii="Book Antiqua" w:hAnsi="Book Antiqua"/>
          <w:color w:val="365F91" w:themeColor="accent1" w:themeShade="BF"/>
        </w:rPr>
        <w:t>’</w:t>
      </w:r>
      <w:r w:rsidR="00560B60" w:rsidRPr="00975476">
        <w:rPr>
          <w:rFonts w:ascii="Book Antiqua" w:hAnsi="Book Antiqua"/>
          <w:color w:val="365F91" w:themeColor="accent1" w:themeShade="BF"/>
        </w:rPr>
        <w:t>s</w:t>
      </w:r>
      <w:r w:rsidR="00560B60">
        <w:rPr>
          <w:rFonts w:ascii="Book Antiqua" w:hAnsi="Book Antiqua"/>
          <w:color w:val="365F91" w:themeColor="accent1" w:themeShade="BF"/>
        </w:rPr>
        <w:t xml:space="preserve"> resources.  T</w:t>
      </w:r>
      <w:r w:rsidR="007660F6">
        <w:rPr>
          <w:rFonts w:ascii="Book Antiqua" w:hAnsi="Book Antiqua"/>
          <w:color w:val="365F91" w:themeColor="accent1" w:themeShade="BF"/>
        </w:rPr>
        <w:t xml:space="preserve">he Board reviews the following to confirm the </w:t>
      </w:r>
      <w:r w:rsidR="00595551">
        <w:rPr>
          <w:rFonts w:ascii="Book Antiqua" w:hAnsi="Book Antiqua"/>
          <w:color w:val="365F91" w:themeColor="accent1" w:themeShade="BF"/>
        </w:rPr>
        <w:t>accuracy</w:t>
      </w:r>
      <w:r w:rsidR="007660F6">
        <w:rPr>
          <w:rFonts w:ascii="Book Antiqua" w:hAnsi="Book Antiqua"/>
          <w:color w:val="365F91" w:themeColor="accent1" w:themeShade="BF"/>
        </w:rPr>
        <w:t xml:space="preserve"> of the financial statements without audit:</w:t>
      </w:r>
    </w:p>
    <w:p w:rsidR="00266C02" w:rsidRDefault="00171496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The annual IRS Form </w:t>
      </w:r>
      <w:r w:rsidR="007660F6" w:rsidRPr="00595551">
        <w:rPr>
          <w:rFonts w:ascii="Book Antiqua" w:hAnsi="Book Antiqua"/>
          <w:color w:val="365F91" w:themeColor="accent1" w:themeShade="BF"/>
        </w:rPr>
        <w:t>990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reports</w:t>
      </w:r>
      <w:r w:rsidR="00705A6D" w:rsidRPr="00595551">
        <w:rPr>
          <w:rFonts w:ascii="Book Antiqua" w:hAnsi="Book Antiqua"/>
          <w:color w:val="365F91" w:themeColor="accent1" w:themeShade="BF"/>
        </w:rPr>
        <w:t>*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 are reviewed by the Board and filed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in a timely manner</w:t>
      </w:r>
      <w:r>
        <w:rPr>
          <w:rFonts w:ascii="Book Antiqua" w:hAnsi="Book Antiqua"/>
          <w:color w:val="365F91" w:themeColor="accent1" w:themeShade="BF"/>
        </w:rPr>
        <w:t>.</w:t>
      </w:r>
    </w:p>
    <w:p w:rsidR="00542DB0" w:rsidRPr="00595551" w:rsidRDefault="00542DB0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The IRS Form is completed by an independent CPA and income/expenses reviewed by staff before completing 990 form.</w:t>
      </w:r>
    </w:p>
    <w:p w:rsidR="00266C02" w:rsidRPr="00595551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At each quarterly board meeting, the </w:t>
      </w:r>
      <w:r w:rsidR="00171496">
        <w:rPr>
          <w:rFonts w:ascii="Book Antiqua" w:hAnsi="Book Antiqua"/>
          <w:color w:val="365F91" w:themeColor="accent1" w:themeShade="BF"/>
        </w:rPr>
        <w:t>f</w:t>
      </w:r>
      <w:r w:rsidR="004764AF" w:rsidRPr="00595551">
        <w:rPr>
          <w:rFonts w:ascii="Book Antiqua" w:hAnsi="Book Antiqua"/>
          <w:color w:val="365F91" w:themeColor="accent1" w:themeShade="BF"/>
        </w:rPr>
        <w:t>inancial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 </w:t>
      </w:r>
      <w:r w:rsidR="00171496">
        <w:rPr>
          <w:rFonts w:ascii="Book Antiqua" w:hAnsi="Book Antiqua"/>
          <w:color w:val="365F91" w:themeColor="accent1" w:themeShade="BF"/>
        </w:rPr>
        <w:t>s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tatements </w:t>
      </w:r>
      <w:r w:rsidR="004764AF" w:rsidRPr="00595551">
        <w:rPr>
          <w:rFonts w:ascii="Book Antiqua" w:hAnsi="Book Antiqua"/>
          <w:color w:val="365F91" w:themeColor="accent1" w:themeShade="BF"/>
        </w:rPr>
        <w:t>are carefully reviewed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 by the Board</w:t>
      </w:r>
      <w:r w:rsidR="00171496">
        <w:rPr>
          <w:rFonts w:ascii="Book Antiqua" w:hAnsi="Book Antiqua"/>
          <w:color w:val="365F91" w:themeColor="accent1" w:themeShade="BF"/>
        </w:rPr>
        <w:t>.</w:t>
      </w:r>
    </w:p>
    <w:p w:rsidR="00266C02" w:rsidRPr="00595551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595551">
        <w:rPr>
          <w:rFonts w:ascii="Book Antiqua" w:hAnsi="Book Antiqua"/>
          <w:color w:val="365F91" w:themeColor="accent1" w:themeShade="BF"/>
        </w:rPr>
        <w:t>T</w:t>
      </w:r>
      <w:r w:rsidRPr="00595551">
        <w:rPr>
          <w:rFonts w:ascii="Book Antiqua" w:hAnsi="Book Antiqua"/>
          <w:color w:val="365F91" w:themeColor="accent1" w:themeShade="BF"/>
        </w:rPr>
        <w:t xml:space="preserve">reasurer </w:t>
      </w:r>
      <w:r w:rsidR="00705A6D" w:rsidRPr="00595551">
        <w:rPr>
          <w:rFonts w:ascii="Book Antiqua" w:hAnsi="Book Antiqua"/>
          <w:color w:val="365F91" w:themeColor="accent1" w:themeShade="BF"/>
        </w:rPr>
        <w:t>has</w:t>
      </w:r>
      <w:r w:rsidRPr="00595551">
        <w:rPr>
          <w:rFonts w:ascii="Book Antiqua" w:hAnsi="Book Antiqua"/>
          <w:color w:val="365F91" w:themeColor="accent1" w:themeShade="BF"/>
        </w:rPr>
        <w:t xml:space="preserve"> a </w:t>
      </w:r>
      <w:r w:rsidR="00A51A39" w:rsidRPr="00595551">
        <w:rPr>
          <w:rFonts w:ascii="Book Antiqua" w:hAnsi="Book Antiqua"/>
          <w:color w:val="365F91" w:themeColor="accent1" w:themeShade="BF"/>
        </w:rPr>
        <w:t>bachelor’s</w:t>
      </w:r>
      <w:r w:rsidRPr="00595551">
        <w:rPr>
          <w:rFonts w:ascii="Book Antiqua" w:hAnsi="Book Antiqua"/>
          <w:color w:val="365F91" w:themeColor="accent1" w:themeShade="BF"/>
        </w:rPr>
        <w:t xml:space="preserve"> degree in accounting, and </w:t>
      </w:r>
      <w:r w:rsidR="00705A6D" w:rsidRPr="00595551">
        <w:rPr>
          <w:rFonts w:ascii="Book Antiqua" w:hAnsi="Book Antiqua"/>
          <w:color w:val="365F91" w:themeColor="accent1" w:themeShade="BF"/>
        </w:rPr>
        <w:t>has</w:t>
      </w:r>
      <w:r w:rsidRPr="00595551">
        <w:rPr>
          <w:rFonts w:ascii="Book Antiqua" w:hAnsi="Book Antiqua"/>
          <w:color w:val="365F91" w:themeColor="accent1" w:themeShade="BF"/>
        </w:rPr>
        <w:t xml:space="preserve"> 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15+ years of </w:t>
      </w:r>
      <w:r w:rsidRPr="00595551">
        <w:rPr>
          <w:rFonts w:ascii="Book Antiqua" w:hAnsi="Book Antiqua"/>
          <w:color w:val="365F91" w:themeColor="accent1" w:themeShade="BF"/>
        </w:rPr>
        <w:t>experience in industry in a corporate finance position.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  The President of the Board is a </w:t>
      </w:r>
      <w:r w:rsidR="00562120" w:rsidRPr="00975476">
        <w:rPr>
          <w:rFonts w:ascii="Book Antiqua" w:hAnsi="Book Antiqua"/>
          <w:color w:val="365F91" w:themeColor="accent1" w:themeShade="BF"/>
        </w:rPr>
        <w:t>tax a</w:t>
      </w:r>
      <w:r w:rsidR="00705A6D" w:rsidRPr="00975476">
        <w:rPr>
          <w:rFonts w:ascii="Book Antiqua" w:hAnsi="Book Antiqua"/>
          <w:color w:val="365F91" w:themeColor="accent1" w:themeShade="BF"/>
        </w:rPr>
        <w:t>ccountant</w:t>
      </w:r>
      <w:r w:rsidR="00705A6D" w:rsidRPr="00595551">
        <w:rPr>
          <w:rFonts w:ascii="Book Antiqua" w:hAnsi="Book Antiqua"/>
          <w:color w:val="365F91" w:themeColor="accent1" w:themeShade="BF"/>
        </w:rPr>
        <w:t>, although she does not audit the financial statements.</w:t>
      </w:r>
      <w:r w:rsidR="00595551">
        <w:rPr>
          <w:rFonts w:ascii="Book Antiqua" w:hAnsi="Book Antiqua"/>
          <w:color w:val="365F91" w:themeColor="accent1" w:themeShade="BF"/>
        </w:rPr>
        <w:t xml:space="preserve"> </w:t>
      </w:r>
    </w:p>
    <w:p w:rsidR="00266C02" w:rsidRPr="00595551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4764AF" w:rsidRPr="00595551">
        <w:rPr>
          <w:rFonts w:ascii="Book Antiqua" w:hAnsi="Book Antiqua"/>
          <w:color w:val="365F91" w:themeColor="accent1" w:themeShade="BF"/>
        </w:rPr>
        <w:t>Board confirms annual</w:t>
      </w:r>
      <w:r w:rsidR="00705A6D" w:rsidRPr="00595551">
        <w:rPr>
          <w:rFonts w:ascii="Book Antiqua" w:hAnsi="Book Antiqua"/>
          <w:color w:val="365F91" w:themeColor="accent1" w:themeShade="BF"/>
        </w:rPr>
        <w:t>ly</w:t>
      </w:r>
      <w:r w:rsidR="004764AF" w:rsidRPr="00595551">
        <w:rPr>
          <w:rFonts w:ascii="Book Antiqua" w:hAnsi="Book Antiqua"/>
          <w:color w:val="365F91" w:themeColor="accent1" w:themeShade="BF"/>
        </w:rPr>
        <w:t xml:space="preserve"> </w:t>
      </w:r>
      <w:r w:rsidRPr="00595551">
        <w:rPr>
          <w:rFonts w:ascii="Book Antiqua" w:hAnsi="Book Antiqua"/>
          <w:color w:val="365F91" w:themeColor="accent1" w:themeShade="BF"/>
        </w:rPr>
        <w:t>that the funds received were spent in accordance with</w:t>
      </w:r>
      <w:r w:rsidR="004764AF" w:rsidRPr="00595551">
        <w:rPr>
          <w:rFonts w:ascii="Book Antiqua" w:hAnsi="Book Antiqua"/>
          <w:color w:val="365F91" w:themeColor="accent1" w:themeShade="BF"/>
        </w:rPr>
        <w:t xml:space="preserve"> any conditions of </w:t>
      </w: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705A6D" w:rsidRPr="00595551">
        <w:rPr>
          <w:rFonts w:ascii="Book Antiqua" w:hAnsi="Book Antiqua"/>
          <w:color w:val="365F91" w:themeColor="accent1" w:themeShade="BF"/>
        </w:rPr>
        <w:t>donation</w:t>
      </w:r>
      <w:r w:rsidRPr="00595551">
        <w:rPr>
          <w:rFonts w:ascii="Book Antiqua" w:hAnsi="Book Antiqua"/>
          <w:color w:val="365F91" w:themeColor="accent1" w:themeShade="BF"/>
        </w:rPr>
        <w:t>.</w:t>
      </w:r>
    </w:p>
    <w:p w:rsidR="00266C02" w:rsidRPr="00595551" w:rsidRDefault="00705A6D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>All checks and disbursements are made by the President of the Board or the Executive Director</w:t>
      </w:r>
      <w:r w:rsidR="00B63E64" w:rsidRPr="00595551">
        <w:rPr>
          <w:rFonts w:ascii="Book Antiqua" w:hAnsi="Book Antiqua"/>
          <w:color w:val="365F91" w:themeColor="accent1" w:themeShade="BF"/>
        </w:rPr>
        <w:t xml:space="preserve"> and the </w:t>
      </w:r>
      <w:r w:rsidR="00595551">
        <w:rPr>
          <w:rFonts w:ascii="Book Antiqua" w:hAnsi="Book Antiqua"/>
          <w:color w:val="365F91" w:themeColor="accent1" w:themeShade="BF"/>
        </w:rPr>
        <w:t>T</w:t>
      </w:r>
      <w:r w:rsidR="00266C02" w:rsidRPr="00595551">
        <w:rPr>
          <w:rFonts w:ascii="Book Antiqua" w:hAnsi="Book Antiqua"/>
          <w:color w:val="365F91" w:themeColor="accent1" w:themeShade="BF"/>
        </w:rPr>
        <w:t>reasurer record</w:t>
      </w:r>
      <w:r w:rsidR="00B63E64" w:rsidRPr="00595551">
        <w:rPr>
          <w:rFonts w:ascii="Book Antiqua" w:hAnsi="Book Antiqua"/>
          <w:color w:val="365F91" w:themeColor="accent1" w:themeShade="BF"/>
        </w:rPr>
        <w:t>s all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transaction </w:t>
      </w:r>
      <w:r w:rsidR="00B63E64" w:rsidRPr="00595551">
        <w:rPr>
          <w:rFonts w:ascii="Book Antiqua" w:hAnsi="Book Antiqua"/>
          <w:color w:val="365F91" w:themeColor="accent1" w:themeShade="BF"/>
        </w:rPr>
        <w:t>providing a separation of the disbursement and record keeping functions</w:t>
      </w:r>
      <w:r w:rsidR="00266C02" w:rsidRPr="00595551">
        <w:rPr>
          <w:rFonts w:ascii="Book Antiqua" w:hAnsi="Book Antiqua"/>
          <w:color w:val="365F91" w:themeColor="accent1" w:themeShade="BF"/>
        </w:rPr>
        <w:t>.</w:t>
      </w:r>
    </w:p>
    <w:p w:rsidR="00685A2D" w:rsidRDefault="00685A2D" w:rsidP="00BC7789">
      <w:pPr>
        <w:jc w:val="center"/>
        <w:rPr>
          <w:rFonts w:ascii="Book Antiqua" w:hAnsi="Book Antiqua"/>
          <w:i/>
          <w:color w:val="365F91" w:themeColor="accent1" w:themeShade="BF"/>
        </w:rPr>
      </w:pPr>
    </w:p>
    <w:p w:rsidR="00685A2D" w:rsidRDefault="00542DB0" w:rsidP="00542DB0">
      <w:pPr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Respectively Submitted,</w:t>
      </w: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Kathy Rose</w:t>
      </w: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Executive Director</w:t>
      </w:r>
    </w:p>
    <w:p w:rsidR="00685A2D" w:rsidRDefault="00685A2D" w:rsidP="00BC7789">
      <w:pPr>
        <w:jc w:val="center"/>
        <w:rPr>
          <w:rFonts w:ascii="Book Antiqua" w:hAnsi="Book Antiqua"/>
          <w:i/>
          <w:color w:val="365F91" w:themeColor="accent1" w:themeShade="BF"/>
        </w:rPr>
      </w:pPr>
      <w:bookmarkStart w:id="0" w:name="_GoBack"/>
      <w:bookmarkEnd w:id="0"/>
    </w:p>
    <w:p w:rsidR="00685A2D" w:rsidRDefault="00705A6D" w:rsidP="004F00DB">
      <w:pPr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 xml:space="preserve">* </w:t>
      </w:r>
      <w:proofErr w:type="spellStart"/>
      <w:r w:rsidR="00685A2D">
        <w:rPr>
          <w:rFonts w:ascii="Book Antiqua" w:hAnsi="Book Antiqua"/>
          <w:i/>
          <w:color w:val="365F91" w:themeColor="accent1" w:themeShade="BF"/>
        </w:rPr>
        <w:t>CollegeCommunityCareer’s</w:t>
      </w:r>
      <w:proofErr w:type="spellEnd"/>
      <w:r w:rsidR="00685A2D">
        <w:rPr>
          <w:rFonts w:ascii="Book Antiqua" w:hAnsi="Book Antiqua"/>
          <w:i/>
          <w:color w:val="365F91" w:themeColor="accent1" w:themeShade="BF"/>
        </w:rPr>
        <w:t xml:space="preserve"> fiscal year begins August 1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st</w:t>
      </w:r>
      <w:r w:rsidR="00685A2D">
        <w:rPr>
          <w:rFonts w:ascii="Book Antiqua" w:hAnsi="Book Antiqua"/>
          <w:i/>
          <w:color w:val="365F91" w:themeColor="accent1" w:themeShade="BF"/>
        </w:rPr>
        <w:t xml:space="preserve"> and ends July 31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st</w:t>
      </w:r>
      <w:r w:rsidR="00685A2D">
        <w:rPr>
          <w:rFonts w:ascii="Book Antiqua" w:hAnsi="Book Antiqua"/>
          <w:i/>
          <w:color w:val="365F91" w:themeColor="accent1" w:themeShade="BF"/>
        </w:rPr>
        <w:t>.  990 forms are filed by December 15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th</w:t>
      </w:r>
      <w:r w:rsidR="00685A2D">
        <w:rPr>
          <w:rFonts w:ascii="Book Antiqua" w:hAnsi="Book Antiqua"/>
          <w:i/>
          <w:color w:val="365F91" w:themeColor="accent1" w:themeShade="BF"/>
        </w:rPr>
        <w:t xml:space="preserve"> of each year.</w:t>
      </w:r>
    </w:p>
    <w:p w:rsidR="00BC7789" w:rsidRDefault="00BC7789" w:rsidP="00BC7789">
      <w:pPr>
        <w:jc w:val="center"/>
        <w:rPr>
          <w:rFonts w:ascii="Book Antiqua" w:hAnsi="Book Antiqua"/>
          <w:i/>
          <w:color w:val="365F91" w:themeColor="accent1" w:themeShade="BF"/>
        </w:rPr>
      </w:pPr>
    </w:p>
    <w:sectPr w:rsidR="00BC7789" w:rsidSect="00784933">
      <w:foot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B1" w:rsidRDefault="009669B1" w:rsidP="00FF579D">
      <w:pPr>
        <w:spacing w:after="0" w:line="240" w:lineRule="auto"/>
      </w:pPr>
      <w:r>
        <w:separator/>
      </w:r>
    </w:p>
  </w:endnote>
  <w:endnote w:type="continuationSeparator" w:id="0">
    <w:p w:rsidR="009669B1" w:rsidRDefault="009669B1" w:rsidP="00FF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9D" w:rsidRPr="00FF579D" w:rsidRDefault="00E056BB">
    <w:pPr>
      <w:pStyle w:val="Footer"/>
      <w:rPr>
        <w:rFonts w:ascii="Book Antiqua" w:hAnsi="Book Antiqua"/>
        <w:i/>
        <w:color w:val="365F91" w:themeColor="accent1" w:themeShade="BF"/>
        <w:sz w:val="16"/>
        <w:szCs w:val="16"/>
      </w:rPr>
    </w:pPr>
    <w:r>
      <w:rPr>
        <w:rFonts w:ascii="Book Antiqua" w:hAnsi="Book Antiqua"/>
        <w:i/>
        <w:color w:val="365F91" w:themeColor="accent1" w:themeShade="BF"/>
        <w:sz w:val="16"/>
        <w:szCs w:val="16"/>
      </w:rPr>
      <w:t>12926 Dairy Ashford #110</w:t>
    </w:r>
    <w:r w:rsidR="00CD497C">
      <w:rPr>
        <w:rFonts w:ascii="Book Antiqua" w:hAnsi="Book Antiqua"/>
        <w:i/>
        <w:color w:val="365F91" w:themeColor="accent1" w:themeShade="BF"/>
        <w:sz w:val="16"/>
        <w:szCs w:val="16"/>
      </w:rPr>
      <w:t xml:space="preserve">, Sugar Land, TX 77478                       </w:t>
    </w:r>
    <w:r w:rsidR="00FF579D" w:rsidRPr="00FF579D">
      <w:rPr>
        <w:rFonts w:ascii="Book Antiqua" w:hAnsi="Book Antiqua"/>
        <w:i/>
        <w:color w:val="365F91" w:themeColor="accent1" w:themeShade="BF"/>
        <w:sz w:val="16"/>
        <w:szCs w:val="16"/>
      </w:rPr>
      <w:tab/>
    </w:r>
    <w:r w:rsidR="00FA0FB7">
      <w:rPr>
        <w:rFonts w:ascii="Book Antiqua" w:hAnsi="Book Antiqua"/>
        <w:i/>
        <w:color w:val="365F91" w:themeColor="accent1" w:themeShade="BF"/>
        <w:sz w:val="16"/>
        <w:szCs w:val="16"/>
      </w:rPr>
      <w:t>www.collegecommunitycareer.org</w:t>
    </w:r>
    <w:r w:rsidR="00FF579D" w:rsidRPr="00FF579D">
      <w:rPr>
        <w:rFonts w:ascii="Book Antiqua" w:hAnsi="Book Antiqua"/>
        <w:i/>
        <w:color w:val="365F91" w:themeColor="accent1" w:themeShade="BF"/>
        <w:sz w:val="16"/>
        <w:szCs w:val="16"/>
      </w:rPr>
      <w:tab/>
      <w:t>713-725-5041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B1" w:rsidRDefault="009669B1" w:rsidP="00FF579D">
      <w:pPr>
        <w:spacing w:after="0" w:line="240" w:lineRule="auto"/>
      </w:pPr>
      <w:r>
        <w:separator/>
      </w:r>
    </w:p>
  </w:footnote>
  <w:footnote w:type="continuationSeparator" w:id="0">
    <w:p w:rsidR="009669B1" w:rsidRDefault="009669B1" w:rsidP="00FF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43922"/>
    <w:multiLevelType w:val="hybridMultilevel"/>
    <w:tmpl w:val="3F0C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07DD4"/>
    <w:multiLevelType w:val="hybridMultilevel"/>
    <w:tmpl w:val="A016FB98"/>
    <w:lvl w:ilvl="0" w:tplc="04744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9D"/>
    <w:rsid w:val="001522AA"/>
    <w:rsid w:val="00171496"/>
    <w:rsid w:val="001B531C"/>
    <w:rsid w:val="001F6B8D"/>
    <w:rsid w:val="00266C02"/>
    <w:rsid w:val="00446139"/>
    <w:rsid w:val="00457252"/>
    <w:rsid w:val="004764AF"/>
    <w:rsid w:val="004F00DB"/>
    <w:rsid w:val="00521A5B"/>
    <w:rsid w:val="00542DB0"/>
    <w:rsid w:val="00560A63"/>
    <w:rsid w:val="00560B60"/>
    <w:rsid w:val="00562120"/>
    <w:rsid w:val="00595551"/>
    <w:rsid w:val="005E3459"/>
    <w:rsid w:val="00685A2D"/>
    <w:rsid w:val="006D04E7"/>
    <w:rsid w:val="00705A6D"/>
    <w:rsid w:val="007660F6"/>
    <w:rsid w:val="00784933"/>
    <w:rsid w:val="007F7B09"/>
    <w:rsid w:val="00841202"/>
    <w:rsid w:val="00912BC3"/>
    <w:rsid w:val="00920098"/>
    <w:rsid w:val="009527D8"/>
    <w:rsid w:val="009669B1"/>
    <w:rsid w:val="00975476"/>
    <w:rsid w:val="009A644B"/>
    <w:rsid w:val="00A51A39"/>
    <w:rsid w:val="00AE3D2F"/>
    <w:rsid w:val="00B46CB4"/>
    <w:rsid w:val="00B63E64"/>
    <w:rsid w:val="00B83706"/>
    <w:rsid w:val="00BC7789"/>
    <w:rsid w:val="00BD19C1"/>
    <w:rsid w:val="00C62C2D"/>
    <w:rsid w:val="00C65D27"/>
    <w:rsid w:val="00CD497C"/>
    <w:rsid w:val="00D26B07"/>
    <w:rsid w:val="00DD2905"/>
    <w:rsid w:val="00DE0BE7"/>
    <w:rsid w:val="00E056BB"/>
    <w:rsid w:val="00EE2DBD"/>
    <w:rsid w:val="00F02F2F"/>
    <w:rsid w:val="00F7173C"/>
    <w:rsid w:val="00F94490"/>
    <w:rsid w:val="00FA0FB7"/>
    <w:rsid w:val="00FE134F"/>
    <w:rsid w:val="00FF579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9D"/>
  </w:style>
  <w:style w:type="paragraph" w:styleId="Footer">
    <w:name w:val="footer"/>
    <w:basedOn w:val="Normal"/>
    <w:link w:val="Foot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9D"/>
  </w:style>
  <w:style w:type="character" w:styleId="Hyperlink">
    <w:name w:val="Hyperlink"/>
    <w:basedOn w:val="DefaultParagraphFont"/>
    <w:uiPriority w:val="99"/>
    <w:unhideWhenUsed/>
    <w:rsid w:val="001B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9D"/>
  </w:style>
  <w:style w:type="paragraph" w:styleId="Footer">
    <w:name w:val="footer"/>
    <w:basedOn w:val="Normal"/>
    <w:link w:val="Foot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9D"/>
  </w:style>
  <w:style w:type="character" w:styleId="Hyperlink">
    <w:name w:val="Hyperlink"/>
    <w:basedOn w:val="DefaultParagraphFont"/>
    <w:uiPriority w:val="99"/>
    <w:unhideWhenUsed/>
    <w:rsid w:val="001B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cp:lastPrinted>2016-05-23T02:19:00Z</cp:lastPrinted>
  <dcterms:created xsi:type="dcterms:W3CDTF">2016-05-23T02:19:00Z</dcterms:created>
  <dcterms:modified xsi:type="dcterms:W3CDTF">2016-08-06T16:36:00Z</dcterms:modified>
</cp:coreProperties>
</file>