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pPr>
      <w:r>
        <w:rPr>
          <w:sz w:val="24"/>
        </w:rPr>
        <w:t>American blessing hand Guangxi representative office</w:t>
      </w:r>
    </w:p>
    <w:p>
      <w:pPr>
        <w:pStyle w:val=""/>
      </w:pPr>
      <w:r>
        <w:rPr>
          <w:sz w:val="24"/>
        </w:rPr>
        <w:t>2018</w:t>
      </w:r>
    </w:p>
    <w:p>
      <w:pPr>
        <w:pStyle w:val=""/>
      </w:pPr>
      <w:r>
        <w:rPr>
          <w:sz w:val="24"/>
        </w:rPr>
        <w:t>Audit Report</w:t>
      </w:r>
    </w:p>
    <w:p>
      <w:pPr>
        <w:pStyle w:val=""/>
      </w:pPr>
      <w:r>
        <w:rPr>
          <w:sz w:val="24"/>
        </w:rPr>
        <w:t>T</w:t>
      </w:r>
      <w:r>
        <w:rPr>
          <w:sz w:val="24"/>
        </w:rPr>
        <w:t>able of Contents</w:t>
      </w:r>
    </w:p>
    <w:p>
      <w:pPr>
        <w:pStyle w:val=""/>
      </w:pPr>
      <w:r>
        <w:rPr>
          <w:sz w:val="24"/>
        </w:rPr>
        <w:t>I. Audit report</w:t>
      </w:r>
    </w:p>
    <w:p>
      <w:pPr>
        <w:pStyle w:val=""/>
      </w:pPr>
      <w:r>
        <w:rPr>
          <w:sz w:val="24"/>
        </w:rPr>
        <w:t>2. T</w:t>
      </w:r>
      <w:r>
        <w:rPr>
          <w:sz w:val="24"/>
        </w:rPr>
        <w:t>he foundation financial situation table</w:t>
      </w:r>
    </w:p>
    <w:p>
      <w:pPr>
        <w:pStyle w:val=""/>
      </w:pPr>
      <w:r>
        <w:rPr>
          <w:sz w:val="24"/>
        </w:rPr>
        <w:t>3. T</w:t>
      </w:r>
      <w:r>
        <w:rPr>
          <w:sz w:val="24"/>
        </w:rPr>
        <w:t>he balance sheet</w:t>
      </w:r>
    </w:p>
    <w:p>
      <w:pPr>
        <w:pStyle w:val=""/>
      </w:pPr>
      <w:r>
        <w:rPr>
          <w:sz w:val="24"/>
        </w:rPr>
        <w:t>4. T</w:t>
      </w:r>
      <w:r>
        <w:rPr>
          <w:sz w:val="24"/>
        </w:rPr>
        <w:t>he business activity table</w:t>
      </w:r>
    </w:p>
    <w:p>
      <w:pPr>
        <w:pStyle w:val=""/>
      </w:pPr>
      <w:r>
        <w:rPr>
          <w:sz w:val="24"/>
        </w:rPr>
        <w:t>5.</w:t>
      </w:r>
      <w:r>
        <w:rPr>
          <w:sz w:val="24"/>
        </w:rPr>
        <w:t xml:space="preserve"> Cash flow statement</w:t>
      </w:r>
    </w:p>
    <w:p>
      <w:pPr>
        <w:pStyle w:val=""/>
      </w:pPr>
      <w:r>
        <w:rPr>
          <w:sz w:val="24"/>
        </w:rPr>
        <w:t>6. List of donor projects</w:t>
      </w:r>
    </w:p>
    <w:p>
      <w:pPr>
        <w:pStyle w:val=""/>
      </w:pPr>
      <w:r>
        <w:rPr>
          <w:sz w:val="24"/>
        </w:rPr>
        <w:t xml:space="preserve">7. </w:t>
      </w:r>
      <w:r>
        <w:rPr>
          <w:sz w:val="24"/>
        </w:rPr>
        <w:t>Notes to the financial statements</w:t>
      </w:r>
    </w:p>
    <w:p>
      <w:pPr>
        <w:pStyle w:val=""/>
      </w:pPr>
      <w:r>
        <w:rPr>
          <w:sz w:val="24"/>
        </w:rPr>
        <w:t>8. Copy of the business license of the accounting firm</w:t>
      </w:r>
    </w:p>
    <w:p>
      <w:pPr>
        <w:pStyle w:val=""/>
        <w:rPr>
          <w:sz w:val="24"/>
        </w:rPr>
      </w:pPr>
    </w:p>
    <w:p>
      <w:pPr>
        <w:pStyle w:val=""/>
      </w:pPr>
      <w:r>
        <w:rPr>
          <w:sz w:val="24"/>
        </w:rPr>
        <w:t xml:space="preserve">Audit </w:t>
      </w:r>
      <w:r>
        <w:rPr>
          <w:sz w:val="24"/>
        </w:rPr>
        <w:t>Client</w:t>
      </w:r>
      <w:r>
        <w:rPr>
          <w:sz w:val="24"/>
        </w:rPr>
        <w:t>Entrusted unit</w:t>
      </w:r>
      <w:r>
        <w:rPr>
          <w:sz w:val="24"/>
        </w:rPr>
        <w:t>: American Blessing Hand Guangxi Representative O</w:t>
      </w:r>
      <w:r>
        <w:rPr>
          <w:sz w:val="24"/>
        </w:rPr>
        <w:t>ffice</w:t>
      </w:r>
    </w:p>
    <w:p>
      <w:pPr>
        <w:pStyle w:val=""/>
      </w:pPr>
      <w:r>
        <w:rPr>
          <w:sz w:val="24"/>
        </w:rPr>
        <w:t>Audit</w:t>
      </w:r>
      <w:r>
        <w:rPr>
          <w:sz w:val="24"/>
        </w:rPr>
        <w:t>or</w:t>
      </w:r>
      <w:r>
        <w:rPr>
          <w:sz w:val="24"/>
        </w:rPr>
        <w:t xml:space="preserve"> unit</w:t>
      </w:r>
      <w:r>
        <w:rPr>
          <w:sz w:val="24"/>
        </w:rPr>
        <w:t>: Guangxi Tianchen Certified Public Accountants Co., Ltd.</w:t>
      </w:r>
    </w:p>
    <w:p>
      <w:pPr>
        <w:pStyle w:val=""/>
      </w:pPr>
      <w:r>
        <w:rPr>
          <w:sz w:val="24"/>
        </w:rPr>
        <w:t>Contact number: 0771-5783233</w:t>
      </w:r>
    </w:p>
    <w:p>
      <w:pPr>
        <w:pStyle w:val=""/>
      </w:pPr>
      <w:r>
        <w:rPr>
          <w:sz w:val="24"/>
        </w:rPr>
        <w:t>Fax number: 0771-5550840</w:t>
      </w:r>
    </w:p>
    <w:p>
      <w:pPr>
        <w:pStyle w:val=""/>
        <w:rPr>
          <w:sz w:val="24"/>
        </w:rPr>
      </w:pPr>
      <w:r>
        <w:rPr>
          <w:sz w:val="24"/>
        </w:rPr>
        <w:t>Gui Tianchen will review the word [2019] No. 303</w:t>
      </w:r>
    </w:p>
    <w:p>
      <w:pPr>
        <w:pStyle w:val=""/>
        <w:rPr>
          <w:sz w:val="24"/>
        </w:rPr>
      </w:pPr>
    </w:p>
    <w:p>
      <w:pPr>
        <w:pStyle w:val=""/>
      </w:pPr>
      <w:r>
        <w:rPr>
          <w:sz w:val="24"/>
        </w:rPr>
        <w:t>Audit Report</w:t>
      </w:r>
    </w:p>
    <w:p>
      <w:pPr>
        <w:pStyle w:val=""/>
      </w:pPr>
      <w:r>
        <w:rPr>
          <w:sz w:val="24"/>
        </w:rPr>
        <w:t>American Blessing Hand Guangxi Representative O</w:t>
      </w:r>
      <w:r>
        <w:rPr>
          <w:sz w:val="24"/>
        </w:rPr>
        <w:t>ffice:</w:t>
      </w:r>
    </w:p>
    <w:p>
      <w:pPr>
        <w:pStyle w:val=""/>
      </w:pPr>
      <w:r>
        <w:rPr>
          <w:sz w:val="24"/>
        </w:rPr>
        <w:t xml:space="preserve">We audited the financial statements of </w:t>
      </w:r>
      <w:r>
        <w:rPr>
          <w:sz w:val="24"/>
        </w:rPr>
        <w:t>American Blessing</w:t>
      </w:r>
      <w:r>
        <w:rPr>
          <w:sz w:val="24"/>
        </w:rPr>
        <w:t>the</w:t>
      </w:r>
      <w:r>
        <w:rPr>
          <w:sz w:val="24"/>
        </w:rPr>
        <w:t xml:space="preserve"> Guangxi Representative Office</w:t>
      </w:r>
      <w:r>
        <w:rPr>
          <w:sz w:val="24"/>
        </w:rPr>
        <w:t xml:space="preserve"> of the attached US Blessings</w:t>
      </w:r>
      <w:r>
        <w:rPr>
          <w:sz w:val="24"/>
        </w:rPr>
        <w:t>, including the balance sheet as of December 31, 2018, the business activity statement and cash flow statement for 2018, and the notes to the financial statements.</w:t>
      </w:r>
    </w:p>
    <w:p>
      <w:pPr>
        <w:pStyle w:val=""/>
      </w:pPr>
      <w:r>
        <w:rPr>
          <w:sz w:val="24"/>
        </w:rPr>
        <w:t>I. Management's responsibility for financial statements</w:t>
      </w:r>
    </w:p>
    <w:p>
      <w:pPr>
        <w:pStyle w:val=""/>
      </w:pPr>
      <w:r>
        <w:rPr>
          <w:sz w:val="24"/>
        </w:rPr>
        <w:t xml:space="preserve">The preparation of financial statements in accordance with the Regulations of the Foundation and the Accounting System for Non-Profit Organizations is the responsibility of the management of the Guangxi Representative Office. Such responsibilities include: (1) preparing </w:t>
      </w:r>
      <w:r>
        <w:rPr>
          <w:sz w:val="24"/>
        </w:rPr>
        <w:t xml:space="preserve">and presenting </w:t>
      </w:r>
      <w:r>
        <w:rPr>
          <w:sz w:val="24"/>
        </w:rPr>
        <w:t xml:space="preserve">financial statements in accordance </w:t>
      </w:r>
      <w:r>
        <w:rPr>
          <w:sz w:val="24"/>
        </w:rPr>
        <w:t xml:space="preserve">to </w:t>
      </w:r>
      <w:r>
        <w:rPr>
          <w:sz w:val="24"/>
        </w:rPr>
        <w:t xml:space="preserve">with </w:t>
      </w:r>
      <w:r>
        <w:rPr>
          <w:sz w:val="24"/>
        </w:rPr>
        <w:t xml:space="preserve">the provisions of the “Non-profit Organization Accounting System” </w:t>
      </w:r>
      <w:r>
        <w:rPr>
          <w:sz w:val="24"/>
        </w:rPr>
        <w:t xml:space="preserve">in a </w:t>
      </w:r>
      <w:r>
        <w:rPr>
          <w:sz w:val="24"/>
        </w:rPr>
        <w:t xml:space="preserve">and making them </w:t>
      </w:r>
      <w:r>
        <w:rPr>
          <w:sz w:val="24"/>
        </w:rPr>
        <w:t>fair</w:t>
      </w:r>
      <w:r>
        <w:rPr>
          <w:sz w:val="24"/>
        </w:rPr>
        <w:t xml:space="preserve"> way</w:t>
      </w:r>
      <w:r>
        <w:rPr>
          <w:sz w:val="24"/>
        </w:rPr>
        <w:t xml:space="preserve">; (2) designing, implementing and maintaining the necessary internal controls so that the financial </w:t>
      </w:r>
      <w:r>
        <w:rPr>
          <w:sz w:val="24"/>
        </w:rPr>
        <w:t xml:space="preserve">statements do not </w:t>
      </w:r>
      <w:r>
        <w:rPr>
          <w:sz w:val="24"/>
        </w:rPr>
        <w:t xml:space="preserve">present any </w:t>
      </w:r>
      <w:r>
        <w:rPr>
          <w:sz w:val="24"/>
        </w:rPr>
        <w:t>exist due to a</w:t>
      </w:r>
      <w:r>
        <w:rPr>
          <w:sz w:val="24"/>
        </w:rPr>
        <w:t xml:space="preserve"> </w:t>
      </w:r>
      <w:r>
        <w:rPr>
          <w:sz w:val="24"/>
        </w:rPr>
        <w:t xml:space="preserve">major misstatement </w:t>
      </w:r>
      <w:r>
        <w:rPr>
          <w:sz w:val="24"/>
        </w:rPr>
        <w:t xml:space="preserve">due to </w:t>
      </w:r>
      <w:r>
        <w:rPr>
          <w:sz w:val="24"/>
        </w:rPr>
        <w:t xml:space="preserve">caused by </w:t>
      </w:r>
      <w:r>
        <w:rPr>
          <w:sz w:val="24"/>
        </w:rPr>
        <w:t>fraud or error.</w:t>
      </w:r>
    </w:p>
    <w:p>
      <w:pPr>
        <w:pStyle w:val=""/>
        <w:rPr>
          <w:sz w:val="24"/>
        </w:rPr>
      </w:pPr>
      <w:r>
        <w:rPr>
          <w:sz w:val="24"/>
        </w:rPr>
        <w:t>2. T</w:t>
      </w:r>
      <w:r>
        <w:rPr>
          <w:sz w:val="24"/>
        </w:rPr>
        <w:t xml:space="preserve">he responsibility of the </w:t>
      </w:r>
      <w:r>
        <w:rPr>
          <w:sz w:val="24"/>
        </w:rPr>
        <w:t>auditor</w:t>
      </w:r>
      <w:r>
        <w:rPr>
          <w:sz w:val="24"/>
        </w:rPr>
        <w:t>CPA</w:t>
      </w:r>
    </w:p>
    <w:p>
      <w:pPr>
        <w:pStyle w:val=""/>
      </w:pPr>
      <w:r>
        <w:rPr>
          <w:sz w:val="24"/>
        </w:rPr>
        <w:t>Our responsibility is to express an audit</w:t>
      </w:r>
      <w:r>
        <w:rPr>
          <w:sz w:val="24"/>
        </w:rPr>
        <w:t>or’</w:t>
      </w:r>
      <w:r>
        <w:rPr>
          <w:sz w:val="24"/>
        </w:rPr>
        <w:t>s</w:t>
      </w:r>
      <w:r>
        <w:rPr>
          <w:sz w:val="24"/>
        </w:rPr>
        <w:t xml:space="preserve"> opinion on the financial statements based on our audit work. We conducted the audit in accordance </w:t>
      </w:r>
      <w:r>
        <w:rPr>
          <w:sz w:val="24"/>
        </w:rPr>
        <w:t xml:space="preserve">to </w:t>
      </w:r>
      <w:r>
        <w:rPr>
          <w:sz w:val="24"/>
        </w:rPr>
        <w:t xml:space="preserve">with </w:t>
      </w:r>
      <w:r>
        <w:rPr>
          <w:sz w:val="24"/>
        </w:rPr>
        <w:t>the Chinese CPA Auditing Standards and the Audit Guidelines for Foundation Financial Statements. The Auditing Standards for Chinese Certified Public Accountants require us to abide by the Code of Ethics for Chinese Certified Public Accountants and plan and perform the audit to obtain reasonable assurance as to whether the financial statements are free from material misstatement.</w:t>
      </w:r>
    </w:p>
    <w:p>
      <w:pPr>
        <w:pStyle w:val=""/>
      </w:pPr>
      <w:r>
        <w:rPr>
          <w:sz w:val="24"/>
        </w:rPr>
        <w:t xml:space="preserve">The audit involves the implementation of an audit process to obtain audit evidence about the </w:t>
      </w:r>
      <w:r>
        <w:rPr>
          <w:sz w:val="24"/>
        </w:rPr>
        <w:t>financial and business numbers</w:t>
      </w:r>
      <w:r>
        <w:rPr>
          <w:sz w:val="24"/>
        </w:rPr>
        <w:t>amount</w:t>
      </w:r>
      <w:r>
        <w:rPr>
          <w:sz w:val="24"/>
        </w:rPr>
        <w:t xml:space="preserve"> and disclosure of financial statements. The audit procedures </w:t>
      </w:r>
      <w:r>
        <w:rPr>
          <w:sz w:val="24"/>
        </w:rPr>
        <w:t xml:space="preserve">were determined </w:t>
      </w:r>
      <w:r>
        <w:rPr>
          <w:sz w:val="24"/>
        </w:rPr>
        <w:t xml:space="preserve">selected </w:t>
      </w:r>
      <w:r>
        <w:rPr>
          <w:sz w:val="24"/>
        </w:rPr>
        <w:t>depend</w:t>
      </w:r>
      <w:r>
        <w:rPr>
          <w:sz w:val="24"/>
        </w:rPr>
        <w:t>ing</w:t>
      </w:r>
      <w:r>
        <w:rPr>
          <w:sz w:val="24"/>
        </w:rPr>
        <w:t xml:space="preserve"> on the judgment of </w:t>
      </w:r>
      <w:r>
        <w:rPr>
          <w:sz w:val="24"/>
        </w:rPr>
        <w:t xml:space="preserve">the </w:t>
      </w:r>
      <w:r>
        <w:rPr>
          <w:sz w:val="24"/>
        </w:rPr>
        <w:t>CPA</w:t>
      </w:r>
      <w:r>
        <w:rPr>
          <w:sz w:val="24"/>
        </w:rPr>
        <w:t>s</w:t>
      </w:r>
      <w:r>
        <w:rPr>
          <w:sz w:val="24"/>
        </w:rPr>
        <w:t xml:space="preserve"> and include an assessment of the risk of material misstatement of the financial statements due to fraud or error. In conducting risk assessments, CPAs consider internal controls related to the preparation and fair presentation of financial statements to design appropriate audit procedures, but not for the purpose of expressing an opinion on the effectiveness of internal controls. The audit also includes evaluating the appropriateness of accounting policies used and the reasonableness of accounting estimates made by the management, as well as evaluating the overall presentation of the financial statements.</w:t>
      </w:r>
    </w:p>
    <w:p>
      <w:pPr>
        <w:pStyle w:val=""/>
      </w:pPr>
      <w:r>
        <w:rPr>
          <w:sz w:val="24"/>
        </w:rPr>
        <w:t>We believe that the audit evidence we have obtained is sufficient and appropriate to provide a basis for our audit opinion.</w:t>
      </w:r>
    </w:p>
    <w:p>
      <w:pPr>
        <w:pStyle w:val=""/>
      </w:pPr>
      <w:r>
        <w:rPr>
          <w:sz w:val="24"/>
        </w:rPr>
        <w:t>3. T</w:t>
      </w:r>
      <w:r>
        <w:rPr>
          <w:sz w:val="24"/>
        </w:rPr>
        <w:t>he basic situation</w:t>
      </w:r>
    </w:p>
    <w:p>
      <w:pPr>
        <w:pStyle w:val=""/>
      </w:pPr>
      <w:r>
        <w:rPr>
          <w:sz w:val="24"/>
        </w:rPr>
        <w:t xml:space="preserve">The </w:t>
      </w:r>
      <w:r>
        <w:rPr>
          <w:sz w:val="24"/>
        </w:rPr>
        <w:t xml:space="preserve">American </w:t>
      </w:r>
      <w:r>
        <w:rPr>
          <w:sz w:val="24"/>
        </w:rPr>
        <w:t xml:space="preserve">United States </w:t>
      </w:r>
      <w:r>
        <w:rPr>
          <w:sz w:val="24"/>
        </w:rPr>
        <w:t>Blessing Hand Guangxi Representative O</w:t>
      </w:r>
      <w:r>
        <w:rPr>
          <w:sz w:val="24"/>
        </w:rPr>
        <w:t>ffice unified social credit code is G1450000MCW1705547. On September 28, 2017, the Guangxi Zhuang Autonomous Region Public Security Department approved the registration certificate of the representative office of the overseas NGO, the chief representative: Liu Jiefeng, the address is Nanning, Guangxi Zhuang Autonomous Region No. 801, Block C, Jiayuan Community, No. 8</w:t>
      </w:r>
      <w:r>
        <w:rPr>
          <w:sz w:val="24"/>
        </w:rPr>
        <w:t xml:space="preserve">8 Dongge Road, Qingxiu District. </w:t>
      </w:r>
      <w:r>
        <w:rPr>
          <w:sz w:val="24"/>
        </w:rPr>
        <w:t>B</w:t>
      </w:r>
      <w:r>
        <w:rPr>
          <w:sz w:val="24"/>
        </w:rPr>
        <w:t>u</w:t>
      </w:r>
      <w:r>
        <w:rPr>
          <w:sz w:val="24"/>
        </w:rPr>
        <w:t>siness supervisor</w:t>
      </w:r>
      <w:r>
        <w:rPr>
          <w:sz w:val="24"/>
        </w:rPr>
        <w:t>T</w:t>
      </w:r>
      <w:r>
        <w:rPr>
          <w:sz w:val="24"/>
        </w:rPr>
        <w:t xml:space="preserve">he </w:t>
      </w:r>
      <w:r>
        <w:rPr>
          <w:sz w:val="24"/>
        </w:rPr>
        <w:t xml:space="preserve"> </w:t>
      </w:r>
      <w:r>
        <w:rPr>
          <w:sz w:val="24"/>
        </w:rPr>
        <w:t xml:space="preserve">business unit </w:t>
      </w:r>
      <w:r>
        <w:rPr>
          <w:sz w:val="24"/>
        </w:rPr>
        <w:t>is the Education Department of Guangxi Zhuang Autonomous Region.</w:t>
      </w:r>
    </w:p>
    <w:p>
      <w:pPr>
        <w:pStyle w:val=""/>
      </w:pPr>
      <w:r>
        <w:rPr>
          <w:sz w:val="24"/>
        </w:rPr>
        <w:t>4.</w:t>
      </w:r>
      <w:r>
        <w:rPr>
          <w:sz w:val="24"/>
        </w:rPr>
        <w:t xml:space="preserve"> </w:t>
      </w:r>
      <w:r>
        <w:rPr>
          <w:sz w:val="24"/>
        </w:rPr>
        <w:t>T</w:t>
      </w:r>
      <w:r>
        <w:rPr>
          <w:sz w:val="24"/>
        </w:rPr>
        <w:t>he financial situation</w:t>
      </w:r>
    </w:p>
    <w:p>
      <w:pPr>
        <w:pStyle w:val=""/>
      </w:pPr>
      <w:r>
        <w:rPr>
          <w:sz w:val="24"/>
        </w:rPr>
        <w:t xml:space="preserve">1. </w:t>
      </w:r>
      <w:r>
        <w:rPr>
          <w:sz w:val="24"/>
        </w:rPr>
        <w:t xml:space="preserve">As of December 31, 2018 American </w:t>
      </w:r>
      <w:r>
        <w:rPr>
          <w:sz w:val="24"/>
        </w:rPr>
        <w:t xml:space="preserve">The United States </w:t>
      </w:r>
      <w:r>
        <w:rPr>
          <w:sz w:val="24"/>
        </w:rPr>
        <w:t>Blessing H</w:t>
      </w:r>
      <w:r>
        <w:rPr>
          <w:sz w:val="24"/>
        </w:rPr>
        <w:t xml:space="preserve">and Guangxi representative office </w:t>
      </w:r>
      <w:r>
        <w:rPr>
          <w:sz w:val="24"/>
        </w:rPr>
        <w:t xml:space="preserve">by December 31, 2018, the </w:t>
      </w:r>
      <w:r>
        <w:rPr>
          <w:sz w:val="24"/>
        </w:rPr>
        <w:t xml:space="preserve">total assets </w:t>
      </w:r>
      <w:r>
        <w:rPr>
          <w:sz w:val="24"/>
        </w:rPr>
        <w:t xml:space="preserve">are </w:t>
      </w:r>
      <w:r>
        <w:rPr>
          <w:sz w:val="24"/>
        </w:rPr>
        <w:t xml:space="preserve">of </w:t>
      </w:r>
      <w:r>
        <w:rPr>
          <w:sz w:val="24"/>
        </w:rPr>
        <w:t>566,664.14 yuan, of which: currency funds 566,664.14 yuan.</w:t>
      </w:r>
    </w:p>
    <w:p>
      <w:pPr>
        <w:pStyle w:val=""/>
      </w:pPr>
      <w:r>
        <w:rPr>
          <w:sz w:val="24"/>
        </w:rPr>
        <w:t xml:space="preserve">2, </w:t>
      </w:r>
      <w:r>
        <w:rPr>
          <w:sz w:val="24"/>
        </w:rPr>
        <w:t>A</w:t>
      </w:r>
      <w:r>
        <w:rPr>
          <w:sz w:val="24"/>
        </w:rPr>
        <w:t xml:space="preserve">s of December 31, 2018 </w:t>
      </w:r>
      <w:r>
        <w:rPr>
          <w:sz w:val="24"/>
        </w:rPr>
        <w:t xml:space="preserve">American </w:t>
      </w:r>
      <w:r>
        <w:rPr>
          <w:sz w:val="24"/>
        </w:rPr>
        <w:t xml:space="preserve">The United States </w:t>
      </w:r>
      <w:r>
        <w:rPr>
          <w:sz w:val="24"/>
        </w:rPr>
        <w:t>B</w:t>
      </w:r>
      <w:r>
        <w:rPr>
          <w:sz w:val="24"/>
        </w:rPr>
        <w:t>lessing</w:t>
      </w:r>
      <w:r>
        <w:rPr>
          <w:sz w:val="24"/>
        </w:rPr>
        <w:t xml:space="preserve"> Hand Guangxi Representative O</w:t>
      </w:r>
      <w:r>
        <w:rPr>
          <w:sz w:val="24"/>
        </w:rPr>
        <w:t xml:space="preserve">ffice </w:t>
      </w:r>
      <w:r>
        <w:rPr>
          <w:sz w:val="24"/>
        </w:rPr>
        <w:t xml:space="preserve">as of December 31, 2018 </w:t>
      </w:r>
      <w:r>
        <w:rPr>
          <w:sz w:val="24"/>
        </w:rPr>
        <w:t>total liabilities</w:t>
      </w:r>
      <w:r>
        <w:rPr>
          <w:sz w:val="24"/>
        </w:rPr>
        <w:t xml:space="preserve"> are </w:t>
      </w:r>
      <w:r>
        <w:rPr>
          <w:sz w:val="24"/>
        </w:rPr>
        <w:t xml:space="preserve"> of </w:t>
      </w:r>
      <w:r>
        <w:rPr>
          <w:sz w:val="24"/>
        </w:rPr>
        <w:t>0.00 yuan.</w:t>
      </w:r>
    </w:p>
    <w:p>
      <w:pPr>
        <w:pStyle w:val=""/>
      </w:pPr>
      <w:r>
        <w:rPr>
          <w:sz w:val="24"/>
        </w:rPr>
        <w:t xml:space="preserve">3. </w:t>
      </w:r>
      <w:r>
        <w:rPr>
          <w:sz w:val="24"/>
        </w:rPr>
        <w:t>A</w:t>
      </w:r>
      <w:r>
        <w:rPr>
          <w:sz w:val="24"/>
        </w:rPr>
        <w:t>s of December 31, 2018</w:t>
      </w:r>
      <w:r>
        <w:rPr>
          <w:sz w:val="24"/>
        </w:rPr>
        <w:t xml:space="preserve"> </w:t>
      </w:r>
      <w:r>
        <w:rPr>
          <w:sz w:val="24"/>
        </w:rPr>
        <w:t>American</w:t>
      </w:r>
      <w:r>
        <w:rPr>
          <w:sz w:val="24"/>
        </w:rPr>
        <w:t>The United State</w:t>
      </w:r>
      <w:r>
        <w:rPr>
          <w:sz w:val="24"/>
        </w:rPr>
        <w:t>s</w:t>
      </w:r>
      <w:r>
        <w:rPr>
          <w:sz w:val="24"/>
        </w:rPr>
        <w:t xml:space="preserve"> Blessing Hand Guangxi Representative O</w:t>
      </w:r>
      <w:r>
        <w:rPr>
          <w:sz w:val="24"/>
        </w:rPr>
        <w:t xml:space="preserve">ffice </w:t>
      </w:r>
      <w:r>
        <w:rPr>
          <w:sz w:val="24"/>
        </w:rPr>
        <w:t xml:space="preserve">as of December 31, 2018, </w:t>
      </w:r>
      <w:r>
        <w:rPr>
          <w:sz w:val="24"/>
        </w:rPr>
        <w:t xml:space="preserve">the </w:t>
      </w:r>
      <w:r>
        <w:rPr>
          <w:sz w:val="24"/>
        </w:rPr>
        <w:t xml:space="preserve">total net assets </w:t>
      </w:r>
      <w:r>
        <w:rPr>
          <w:sz w:val="24"/>
        </w:rPr>
        <w:t xml:space="preserve">are </w:t>
      </w:r>
      <w:r>
        <w:rPr>
          <w:sz w:val="24"/>
        </w:rPr>
        <w:t xml:space="preserve">of </w:t>
      </w:r>
      <w:r>
        <w:rPr>
          <w:sz w:val="24"/>
        </w:rPr>
        <w:t xml:space="preserve">566,664.14 yuan, of which: limited net assets </w:t>
      </w:r>
      <w:r>
        <w:rPr>
          <w:sz w:val="24"/>
        </w:rPr>
        <w:t xml:space="preserve">of </w:t>
      </w:r>
      <w:r>
        <w:rPr>
          <w:sz w:val="24"/>
        </w:rPr>
        <w:t xml:space="preserve">0.00 yuan, non-restrictive net assets </w:t>
      </w:r>
      <w:r>
        <w:rPr>
          <w:sz w:val="24"/>
        </w:rPr>
        <w:t xml:space="preserve">of </w:t>
      </w:r>
      <w:r>
        <w:rPr>
          <w:sz w:val="24"/>
        </w:rPr>
        <w:t>566,664.14 yuan.</w:t>
      </w:r>
    </w:p>
    <w:p>
      <w:pPr>
        <w:pStyle w:val=""/>
      </w:pPr>
      <w:r>
        <w:rPr>
          <w:sz w:val="24"/>
        </w:rPr>
        <w:t xml:space="preserve">4. </w:t>
      </w:r>
      <w:r>
        <w:rPr>
          <w:sz w:val="24"/>
        </w:rPr>
        <w:t xml:space="preserve">For the year of 2018, </w:t>
      </w:r>
      <w:r>
        <w:rPr>
          <w:sz w:val="24"/>
        </w:rPr>
        <w:t xml:space="preserve">The </w:t>
      </w:r>
      <w:r>
        <w:rPr>
          <w:sz w:val="24"/>
        </w:rPr>
        <w:t>American Blessing H</w:t>
      </w:r>
      <w:r>
        <w:rPr>
          <w:sz w:val="24"/>
        </w:rPr>
        <w:t xml:space="preserve">and Guangxi Representative Office </w:t>
      </w:r>
      <w:r>
        <w:rPr>
          <w:sz w:val="24"/>
        </w:rPr>
        <w:t xml:space="preserve">income is </w:t>
      </w:r>
      <w:r>
        <w:rPr>
          <w:sz w:val="24"/>
        </w:rPr>
        <w:t xml:space="preserve">earned </w:t>
      </w:r>
      <w:r>
        <w:rPr>
          <w:sz w:val="24"/>
        </w:rPr>
        <w:t>1,218,669.92 yuan</w:t>
      </w:r>
      <w:r>
        <w:rPr>
          <w:sz w:val="24"/>
        </w:rPr>
        <w:t xml:space="preserve"> in 2018</w:t>
      </w:r>
      <w:r>
        <w:rPr>
          <w:sz w:val="24"/>
        </w:rPr>
        <w:t xml:space="preserve">, of which: donation income </w:t>
      </w:r>
      <w:r>
        <w:rPr>
          <w:sz w:val="24"/>
        </w:rPr>
        <w:t xml:space="preserve">was </w:t>
      </w:r>
      <w:r>
        <w:rPr>
          <w:sz w:val="24"/>
        </w:rPr>
        <w:t xml:space="preserve">1,216,865.11 yuan, and other income </w:t>
      </w:r>
      <w:r>
        <w:rPr>
          <w:sz w:val="24"/>
        </w:rPr>
        <w:t xml:space="preserve">was </w:t>
      </w:r>
      <w:r>
        <w:rPr>
          <w:sz w:val="24"/>
        </w:rPr>
        <w:t>1,804.81 yuan.</w:t>
      </w:r>
    </w:p>
    <w:p>
      <w:pPr>
        <w:pStyle w:val=""/>
      </w:pPr>
      <w:r>
        <w:rPr>
          <w:sz w:val="24"/>
        </w:rPr>
        <w:t>For the year of</w:t>
      </w:r>
      <w:r>
        <w:rPr>
          <w:sz w:val="24"/>
        </w:rPr>
        <w:t xml:space="preserve"> 2018</w:t>
      </w:r>
      <w:r>
        <w:rPr>
          <w:sz w:val="24"/>
        </w:rPr>
        <w:t>,</w:t>
      </w:r>
      <w:r>
        <w:rPr>
          <w:sz w:val="24"/>
        </w:rPr>
        <w:t xml:space="preserve"> </w:t>
      </w:r>
      <w:r>
        <w:rPr>
          <w:sz w:val="24"/>
        </w:rPr>
        <w:t xml:space="preserve">American </w:t>
      </w:r>
      <w:r>
        <w:rPr>
          <w:sz w:val="24"/>
        </w:rPr>
        <w:t>The United State</w:t>
      </w:r>
      <w:r>
        <w:rPr>
          <w:sz w:val="24"/>
        </w:rPr>
        <w:t xml:space="preserve">s </w:t>
      </w:r>
      <w:r>
        <w:rPr>
          <w:sz w:val="24"/>
        </w:rPr>
        <w:t>Blessing Hand Guangxi Representative O</w:t>
      </w:r>
      <w:r>
        <w:rPr>
          <w:sz w:val="24"/>
        </w:rPr>
        <w:t xml:space="preserve">ffice </w:t>
      </w:r>
      <w:r>
        <w:rPr>
          <w:sz w:val="24"/>
        </w:rPr>
        <w:t xml:space="preserve">in 2018 </w:t>
      </w:r>
      <w:r>
        <w:rPr>
          <w:sz w:val="24"/>
        </w:rPr>
        <w:t>annual</w:t>
      </w:r>
      <w:r>
        <w:rPr>
          <w:sz w:val="24"/>
        </w:rPr>
        <w:t xml:space="preserve"> </w:t>
      </w:r>
      <w:r>
        <w:rPr>
          <w:sz w:val="24"/>
        </w:rPr>
        <w:t xml:space="preserve">total </w:t>
      </w:r>
      <w:r>
        <w:rPr>
          <w:sz w:val="24"/>
        </w:rPr>
        <w:t xml:space="preserve">expenditure </w:t>
      </w:r>
      <w:r>
        <w:rPr>
          <w:sz w:val="24"/>
        </w:rPr>
        <w:t>is</w:t>
      </w:r>
      <w:r>
        <w:rPr>
          <w:sz w:val="24"/>
        </w:rPr>
        <w:t>of</w:t>
      </w:r>
      <w:r>
        <w:rPr>
          <w:sz w:val="24"/>
        </w:rPr>
        <w:t xml:space="preserve"> 851,305.44 yuan, of which: business activities</w:t>
      </w:r>
      <w:r>
        <w:rPr>
          <w:sz w:val="24"/>
        </w:rPr>
        <w:t xml:space="preserve"> cost</w:t>
      </w:r>
      <w:r>
        <w:rPr>
          <w:sz w:val="24"/>
        </w:rPr>
        <w:t xml:space="preserve"> 791,024.10 yuan, </w:t>
      </w:r>
      <w:r>
        <w:rPr>
          <w:sz w:val="24"/>
        </w:rPr>
        <w:t>general administration</w:t>
      </w:r>
      <w:r>
        <w:rPr>
          <w:sz w:val="24"/>
        </w:rPr>
        <w:t>management</w:t>
      </w:r>
      <w:r>
        <w:rPr>
          <w:sz w:val="24"/>
        </w:rPr>
        <w:t xml:space="preserve"> </w:t>
      </w:r>
      <w:r>
        <w:rPr>
          <w:sz w:val="24"/>
        </w:rPr>
        <w:t xml:space="preserve">costs </w:t>
      </w:r>
      <w:r>
        <w:rPr>
          <w:sz w:val="24"/>
        </w:rPr>
        <w:t>60,281.34 yuan, financing</w:t>
      </w:r>
      <w:r>
        <w:rPr>
          <w:sz w:val="24"/>
        </w:rPr>
        <w:t xml:space="preserve"> costs</w:t>
      </w:r>
      <w:r>
        <w:rPr>
          <w:sz w:val="24"/>
        </w:rPr>
        <w:t xml:space="preserve"> 0.00 yuan</w:t>
      </w:r>
      <w:r>
        <w:rPr>
          <w:sz w:val="24"/>
        </w:rPr>
        <w:t xml:space="preserve"> and </w:t>
      </w:r>
      <w:r>
        <w:rPr>
          <w:sz w:val="24"/>
        </w:rPr>
        <w:t xml:space="preserve">, </w:t>
      </w:r>
      <w:r>
        <w:rPr>
          <w:sz w:val="24"/>
        </w:rPr>
        <w:t>other expenses 0.00 yuan.</w:t>
      </w:r>
    </w:p>
    <w:p>
      <w:pPr>
        <w:pStyle w:val=""/>
        <w:rPr>
          <w:sz w:val="24"/>
        </w:rPr>
      </w:pPr>
      <w:r>
        <w:rPr>
          <w:sz w:val="24"/>
        </w:rPr>
        <w:t xml:space="preserve">5. </w:t>
      </w:r>
      <w:r>
        <w:rPr>
          <w:sz w:val="24"/>
        </w:rPr>
        <w:t xml:space="preserve">For the year of </w:t>
      </w:r>
      <w:r>
        <w:rPr>
          <w:sz w:val="24"/>
        </w:rPr>
        <w:t>2018</w:t>
      </w:r>
      <w:r>
        <w:rPr>
          <w:sz w:val="24"/>
        </w:rPr>
        <w:t>,</w:t>
      </w:r>
      <w:r>
        <w:rPr>
          <w:sz w:val="24"/>
        </w:rPr>
        <w:t xml:space="preserve"> </w:t>
      </w:r>
      <w:r>
        <w:rPr>
          <w:sz w:val="24"/>
        </w:rPr>
        <w:t xml:space="preserve">American </w:t>
      </w:r>
      <w:r>
        <w:rPr>
          <w:sz w:val="24"/>
        </w:rPr>
        <w:t>T</w:t>
      </w:r>
      <w:r>
        <w:rPr>
          <w:sz w:val="24"/>
        </w:rPr>
        <w:t xml:space="preserve">he United States </w:t>
      </w:r>
      <w:r>
        <w:rPr>
          <w:sz w:val="24"/>
        </w:rPr>
        <w:t>B</w:t>
      </w:r>
      <w:r>
        <w:rPr>
          <w:sz w:val="24"/>
        </w:rPr>
        <w:t>les</w:t>
      </w:r>
      <w:r>
        <w:rPr>
          <w:sz w:val="24"/>
        </w:rPr>
        <w:t>sing Hand Guangxi Representative O</w:t>
      </w:r>
      <w:r>
        <w:rPr>
          <w:sz w:val="24"/>
        </w:rPr>
        <w:t xml:space="preserve">ffice </w:t>
      </w:r>
      <w:r>
        <w:rPr>
          <w:sz w:val="24"/>
        </w:rPr>
        <w:t xml:space="preserve">2018 </w:t>
      </w:r>
      <w:r>
        <w:rPr>
          <w:sz w:val="24"/>
        </w:rPr>
        <w:t>an</w:t>
      </w:r>
      <w:r>
        <w:rPr>
          <w:sz w:val="24"/>
        </w:rPr>
        <w:t xml:space="preserve">nual </w:t>
      </w:r>
      <w:r>
        <w:rPr>
          <w:sz w:val="24"/>
        </w:rPr>
        <w:t>public welfare ex</w:t>
      </w:r>
      <w:r>
        <w:rPr>
          <w:sz w:val="24"/>
        </w:rPr>
        <w:t>penses are</w:t>
      </w:r>
      <w:r>
        <w:rPr>
          <w:sz w:val="24"/>
        </w:rPr>
        <w:t>penditures</w:t>
      </w:r>
      <w:r>
        <w:rPr>
          <w:sz w:val="24"/>
        </w:rPr>
        <w:t xml:space="preserve"> 791,024.10 yuan (including: regional p</w:t>
      </w:r>
      <w:r>
        <w:rPr>
          <w:sz w:val="24"/>
        </w:rPr>
        <w:t xml:space="preserve">ublic welfare </w:t>
      </w:r>
      <w:r>
        <w:rPr>
          <w:sz w:val="24"/>
        </w:rPr>
        <w:t xml:space="preserve">expenditures </w:t>
      </w:r>
      <w:r>
        <w:rPr>
          <w:sz w:val="24"/>
        </w:rPr>
        <w:t>607,</w:t>
      </w:r>
      <w:r>
        <w:rPr>
          <w:sz w:val="24"/>
        </w:rPr>
        <w:t>324.10 yuan</w:t>
      </w:r>
      <w:r>
        <w:rPr>
          <w:sz w:val="24"/>
        </w:rPr>
        <w:t xml:space="preserve"> with </w:t>
      </w:r>
      <w:r>
        <w:rPr>
          <w:sz w:val="24"/>
        </w:rPr>
        <w:t xml:space="preserve">, </w:t>
      </w:r>
      <w:r>
        <w:rPr>
          <w:sz w:val="24"/>
        </w:rPr>
        <w:t>183,700.00 yuan outside the district public welfare</w:t>
      </w:r>
      <w:r>
        <w:rPr>
          <w:sz w:val="24"/>
        </w:rPr>
        <w:t xml:space="preserve"> </w:t>
      </w:r>
      <w:r>
        <w:rPr>
          <w:sz w:val="24"/>
        </w:rPr>
        <w:t>expenditures</w:t>
      </w:r>
      <w:r>
        <w:rPr>
          <w:sz w:val="24"/>
        </w:rPr>
        <w:t>)</w:t>
      </w:r>
      <w:r>
        <w:rPr>
          <w:sz w:val="24"/>
        </w:rPr>
        <w:t>. Compared with the</w:t>
      </w:r>
      <w:r>
        <w:rPr>
          <w:sz w:val="24"/>
        </w:rPr>
        <w:t>,</w:t>
      </w:r>
      <w:r>
        <w:rPr>
          <w:sz w:val="24"/>
        </w:rPr>
        <w:t xml:space="preserve"> net assets of 199,299.66 y</w:t>
      </w:r>
      <w:r>
        <w:rPr>
          <w:sz w:val="24"/>
        </w:rPr>
        <w:t>uan at the end</w:t>
      </w:r>
      <w:r>
        <w:rPr>
          <w:sz w:val="24"/>
        </w:rPr>
        <w:t xml:space="preserve"> of</w:t>
      </w:r>
      <w:r>
        <w:rPr>
          <w:sz w:val="24"/>
        </w:rPr>
        <w:t xml:space="preserve"> of </w:t>
      </w:r>
      <w:r>
        <w:rPr>
          <w:sz w:val="24"/>
        </w:rPr>
        <w:t xml:space="preserve"> 2017</w:t>
      </w:r>
      <w:r>
        <w:rPr>
          <w:sz w:val="24"/>
        </w:rPr>
        <w:t>last year</w:t>
      </w:r>
      <w:r>
        <w:rPr>
          <w:sz w:val="24"/>
        </w:rPr>
        <w:t>,</w:t>
      </w:r>
      <w:r>
        <w:rPr>
          <w:sz w:val="24"/>
        </w:rPr>
        <w:t>.</w:t>
      </w:r>
      <w:r>
        <w:rPr>
          <w:sz w:val="24"/>
        </w:rPr>
        <w:t xml:space="preserve"> </w:t>
      </w:r>
      <w:r>
        <w:rPr>
          <w:sz w:val="24"/>
        </w:rPr>
        <w:t>p</w:t>
      </w:r>
      <w:r>
        <w:rPr>
          <w:sz w:val="24"/>
        </w:rPr>
        <w:t>P</w:t>
      </w:r>
      <w:r>
        <w:rPr>
          <w:sz w:val="24"/>
        </w:rPr>
        <w:t>ublic welf</w:t>
      </w:r>
      <w:r>
        <w:rPr>
          <w:sz w:val="24"/>
        </w:rPr>
        <w:t>are expe</w:t>
      </w:r>
      <w:r>
        <w:rPr>
          <w:sz w:val="24"/>
        </w:rPr>
        <w:t>nses</w:t>
      </w:r>
      <w:r>
        <w:rPr>
          <w:sz w:val="24"/>
        </w:rPr>
        <w:t>n</w:t>
      </w:r>
      <w:r>
        <w:rPr>
          <w:sz w:val="24"/>
        </w:rPr>
        <w:t>ditures</w:t>
      </w:r>
      <w:r>
        <w:rPr>
          <w:sz w:val="24"/>
        </w:rPr>
        <w:t xml:space="preserve"> account</w:t>
      </w:r>
      <w:r>
        <w:rPr>
          <w:sz w:val="24"/>
        </w:rPr>
        <w:t>ed</w:t>
      </w:r>
      <w:r>
        <w:rPr>
          <w:sz w:val="24"/>
        </w:rPr>
        <w:t xml:space="preserve"> for </w:t>
      </w:r>
      <w:r>
        <w:rPr>
          <w:sz w:val="24"/>
        </w:rPr>
        <w:t>t</w:t>
      </w:r>
      <w:r>
        <w:rPr>
          <w:sz w:val="24"/>
        </w:rPr>
        <w:t xml:space="preserve">he proportion of fund balance for one year is </w:t>
      </w:r>
      <w:r>
        <w:rPr>
          <w:sz w:val="24"/>
        </w:rPr>
        <w:t>397%</w:t>
      </w:r>
      <w:r>
        <w:rPr>
          <w:sz w:val="24"/>
        </w:rPr>
        <w:t xml:space="preserve"> of the net assets. </w:t>
      </w:r>
      <w:r>
        <w:rPr>
          <w:sz w:val="24"/>
        </w:rPr>
        <w:t>; the</w:t>
      </w:r>
      <w:r>
        <w:rPr>
          <w:sz w:val="24"/>
        </w:rPr>
        <w:t xml:space="preserve"> </w:t>
      </w:r>
      <w:r>
        <w:rPr>
          <w:sz w:val="24"/>
        </w:rPr>
        <w:t>S</w:t>
      </w:r>
      <w:r>
        <w:rPr>
          <w:sz w:val="24"/>
        </w:rPr>
        <w:t>s</w:t>
      </w:r>
      <w:r>
        <w:rPr>
          <w:sz w:val="24"/>
        </w:rPr>
        <w:t xml:space="preserve">alary and welfare of staff is 58,992.54 yuan, and the administrative </w:t>
      </w:r>
      <w:r>
        <w:rPr>
          <w:sz w:val="24"/>
        </w:rPr>
        <w:t>expenses</w:t>
      </w:r>
      <w:r>
        <w:rPr>
          <w:sz w:val="24"/>
        </w:rPr>
        <w:t>office expenditure</w:t>
      </w:r>
      <w:r>
        <w:rPr>
          <w:sz w:val="24"/>
        </w:rPr>
        <w:t xml:space="preserve"> is 1,288.80 yuan. The ratio of staff salary and welfare and administrative </w:t>
      </w:r>
      <w:r>
        <w:rPr>
          <w:sz w:val="24"/>
        </w:rPr>
        <w:t xml:space="preserve">office </w:t>
      </w:r>
      <w:r>
        <w:rPr>
          <w:sz w:val="24"/>
        </w:rPr>
        <w:t xml:space="preserve">expenses </w:t>
      </w:r>
      <w:r>
        <w:rPr>
          <w:sz w:val="24"/>
        </w:rPr>
        <w:t>account for</w:t>
      </w:r>
      <w:r>
        <w:rPr>
          <w:sz w:val="24"/>
        </w:rPr>
        <w:t>to this year's expenditure is</w:t>
      </w:r>
      <w:r>
        <w:rPr>
          <w:sz w:val="24"/>
        </w:rPr>
        <w:t xml:space="preserve"> </w:t>
      </w:r>
      <w:r>
        <w:rPr>
          <w:sz w:val="24"/>
        </w:rPr>
        <w:t>7.08%</w:t>
      </w:r>
      <w:r>
        <w:rPr>
          <w:sz w:val="24"/>
        </w:rPr>
        <w:t xml:space="preserve"> of </w:t>
      </w:r>
      <w:r>
        <w:rPr>
          <w:sz w:val="24"/>
          <w:shd w:fill="FFFF00"/>
        </w:rPr>
        <w:t>total expenditure</w:t>
      </w:r>
      <w:r>
        <w:rPr>
          <w:sz w:val="24"/>
        </w:rPr>
        <w:t>.</w:t>
      </w:r>
    </w:p>
    <w:p>
      <w:pPr>
        <w:pStyle w:val=""/>
        <w:rPr>
          <w:sz w:val="24"/>
        </w:rPr>
      </w:pPr>
    </w:p>
    <w:p>
      <w:pPr>
        <w:pStyle w:val=""/>
      </w:pPr>
      <w:r>
        <w:rPr>
          <w:sz w:val="24"/>
        </w:rPr>
        <w:t>5.</w:t>
      </w:r>
      <w:r>
        <w:rPr>
          <w:sz w:val="24"/>
        </w:rPr>
        <w:t xml:space="preserve"> Audit opinion</w:t>
      </w:r>
    </w:p>
    <w:p>
      <w:pPr>
        <w:pStyle w:val=""/>
      </w:pPr>
      <w:r>
        <w:rPr>
          <w:sz w:val="24"/>
        </w:rPr>
        <w:t>We believe that the financial s</w:t>
      </w:r>
      <w:r>
        <w:rPr>
          <w:sz w:val="24"/>
        </w:rPr>
        <w:t xml:space="preserve">tatements of </w:t>
      </w:r>
      <w:r>
        <w:rPr>
          <w:sz w:val="24"/>
        </w:rPr>
        <w:t xml:space="preserve">American </w:t>
      </w:r>
      <w:r>
        <w:rPr>
          <w:sz w:val="24"/>
        </w:rPr>
        <w:t xml:space="preserve">the United States </w:t>
      </w:r>
      <w:r>
        <w:rPr>
          <w:sz w:val="24"/>
        </w:rPr>
        <w:t>Blessing Hand Guangxi Representative O</w:t>
      </w:r>
      <w:r>
        <w:rPr>
          <w:sz w:val="24"/>
        </w:rPr>
        <w:t>ffice have been prepared in accordance</w:t>
      </w:r>
      <w:r>
        <w:rPr>
          <w:sz w:val="24"/>
        </w:rPr>
        <w:t xml:space="preserve"> to </w:t>
      </w:r>
      <w:r>
        <w:rPr>
          <w:sz w:val="24"/>
        </w:rPr>
        <w:t xml:space="preserve"> with </w:t>
      </w:r>
      <w:r>
        <w:rPr>
          <w:sz w:val="24"/>
        </w:rPr>
        <w:t xml:space="preserve">the "Public Non-Profit Organization Accounting System", which fairly reflects </w:t>
      </w:r>
      <w:r>
        <w:rPr>
          <w:sz w:val="24"/>
        </w:rPr>
        <w:t xml:space="preserve">the financial status of </w:t>
      </w:r>
      <w:r>
        <w:rPr>
          <w:sz w:val="24"/>
        </w:rPr>
        <w:t xml:space="preserve">American </w:t>
      </w:r>
      <w:r>
        <w:rPr>
          <w:sz w:val="24"/>
        </w:rPr>
        <w:t xml:space="preserve">the US </w:t>
      </w:r>
      <w:r>
        <w:rPr>
          <w:sz w:val="24"/>
        </w:rPr>
        <w:t>Blessing H</w:t>
      </w:r>
      <w:r>
        <w:rPr>
          <w:sz w:val="24"/>
        </w:rPr>
        <w:t>and Guangxi Representative Office on December 31, 2018 in all major aspects. Results of business activities and cash flow</w:t>
      </w:r>
      <w:r>
        <w:rPr>
          <w:sz w:val="24"/>
        </w:rPr>
        <w:t>s</w:t>
      </w:r>
      <w:r>
        <w:rPr>
          <w:sz w:val="24"/>
        </w:rPr>
        <w:t xml:space="preserve"> for the year 2018.</w:t>
      </w:r>
    </w:p>
    <w:p>
      <w:pPr>
        <w:pStyle w:val=""/>
      </w:pPr>
      <w:r>
        <w:rPr>
          <w:sz w:val="24"/>
        </w:rPr>
        <w:t> </w:t>
      </w:r>
    </w:p>
    <w:p>
      <w:pPr>
        <w:pStyle w:val=""/>
      </w:pPr>
      <w:r>
        <w:rPr>
          <w:sz w:val="24"/>
        </w:rPr>
        <w:t>Guangxi Tianchen Certified Public Accountants Co., Ltd. Chinese CPA:</w:t>
      </w:r>
    </w:p>
    <w:p>
      <w:pPr>
        <w:pStyle w:val=""/>
        <w:rPr>
          <w:sz w:val="24"/>
        </w:rPr>
      </w:pPr>
    </w:p>
    <w:p>
      <w:pPr>
        <w:pStyle w:val=""/>
      </w:pPr>
      <w:r>
        <w:rPr>
          <w:sz w:val="24"/>
        </w:rPr>
        <w:t>China Guangxi China Certified Public Accountant:</w:t>
      </w:r>
      <w:r>
        <w:rPr>
          <w:sz w:val="24"/>
        </w:rPr>
        <w:t xml:space="preserve"> </w:t>
      </w:r>
      <w:r>
        <w:rPr>
          <w:sz w:val="24"/>
        </w:rPr>
        <w:t>January 28, 2009</w:t>
      </w:r>
    </w:p>
    <w:p>
      <w:pPr>
        <w:pStyle w:val=""/>
        <w:rPr>
          <w:sz w:val="24"/>
        </w:rPr>
      </w:pPr>
    </w:p>
    <w:p>
      <w:pPr>
        <w:pStyle w:val=""/>
      </w:pPr>
      <w:r>
        <w:rPr>
          <w:sz w:val="24"/>
        </w:rPr>
        <w:t>American Blessing Hand Guangxi Representative O</w:t>
      </w:r>
      <w:r>
        <w:rPr>
          <w:sz w:val="24"/>
        </w:rPr>
        <w:t>ffice</w:t>
      </w:r>
    </w:p>
    <w:p>
      <w:pPr>
        <w:pStyle w:val=""/>
        <w:rPr>
          <w:sz w:val="24"/>
        </w:rPr>
      </w:pPr>
    </w:p>
    <w:p>
      <w:pPr>
        <w:pStyle w:val=""/>
      </w:pPr>
      <w:r>
        <w:rPr>
          <w:sz w:val="24"/>
        </w:rPr>
        <w:t>Financial S</w:t>
      </w:r>
      <w:r>
        <w:rPr>
          <w:sz w:val="24"/>
        </w:rPr>
        <w:t>tatement's footnote</w:t>
      </w:r>
    </w:p>
    <w:p>
      <w:pPr>
        <w:pStyle w:val=""/>
        <w:rPr>
          <w:sz w:val="24"/>
        </w:rPr>
      </w:pPr>
      <w:r>
        <w:rPr>
          <w:sz w:val="24"/>
        </w:rPr>
        <w:t>                                                                                    </w:t>
      </w:r>
    </w:p>
    <w:p>
      <w:pPr>
        <w:pStyle w:val=""/>
      </w:pPr>
      <w:r>
        <w:rPr>
          <w:sz w:val="24"/>
        </w:rPr>
        <w:t>First, the basic situation</w:t>
      </w:r>
    </w:p>
    <w:p>
      <w:pPr>
        <w:pStyle w:val=""/>
      </w:pPr>
      <w:r>
        <w:rPr>
          <w:sz w:val="24"/>
        </w:rPr>
        <w:t>American</w:t>
      </w:r>
      <w:r>
        <w:rPr>
          <w:sz w:val="24"/>
        </w:rPr>
        <w:t>The</w:t>
      </w:r>
      <w:r>
        <w:rPr>
          <w:sz w:val="24"/>
        </w:rPr>
        <w:t xml:space="preserve"> Guangxi Representative Office of the Blessing Hand</w:t>
      </w:r>
      <w:r>
        <w:rPr>
          <w:sz w:val="24"/>
        </w:rPr>
        <w:t xml:space="preserve"> of the United States</w:t>
      </w:r>
      <w:r>
        <w:rPr>
          <w:sz w:val="24"/>
        </w:rPr>
        <w:t xml:space="preserve"> (hereinafter referred to as the Guangxi Representative Office) was approved by the Public Security Department of Guangxi Zhuang Autonomous Region on September 28, 2017. Unified social credit code: G1450000MCW1705547. Chief Representative: Liu Jiefeng.</w:t>
      </w:r>
    </w:p>
    <w:p>
      <w:pPr>
        <w:pStyle w:val=""/>
      </w:pPr>
      <w:r>
        <w:rPr>
          <w:sz w:val="24"/>
        </w:rPr>
        <w:t>Business supervisor</w:t>
      </w:r>
      <w:r>
        <w:rPr>
          <w:sz w:val="24"/>
        </w:rPr>
        <w:t xml:space="preserve"> </w:t>
      </w:r>
      <w:r>
        <w:rPr>
          <w:sz w:val="24"/>
        </w:rPr>
        <w:t>: Education Department of Guangxi Zhuang Autonomous Region.</w:t>
      </w:r>
    </w:p>
    <w:p>
      <w:pPr>
        <w:pStyle w:val=""/>
        <w:rPr>
          <w:sz w:val="24"/>
        </w:rPr>
      </w:pPr>
      <w:r>
        <w:rPr>
          <w:sz w:val="24"/>
        </w:rPr>
        <w:t xml:space="preserve">Scope of business: support </w:t>
      </w:r>
      <w:r>
        <w:rPr>
          <w:sz w:val="24"/>
        </w:rPr>
        <w:t xml:space="preserve">for </w:t>
      </w:r>
      <w:r>
        <w:rPr>
          <w:sz w:val="24"/>
        </w:rPr>
        <w:t xml:space="preserve">poor students and families; subsidize tuition fees for high school and university students, study and daily necessities for primary and junior high school students, special medical care for poor families; improve school conditions; support schools for teaching and extracurricular activities in poor areas, water purification equipment, </w:t>
      </w:r>
      <w:r>
        <w:rPr>
          <w:sz w:val="24"/>
        </w:rPr>
        <w:t>b</w:t>
      </w:r>
      <w:r>
        <w:rPr>
          <w:sz w:val="24"/>
        </w:rPr>
        <w:t>B</w:t>
      </w:r>
      <w:r>
        <w:rPr>
          <w:sz w:val="24"/>
        </w:rPr>
        <w:t>ook materials, computers, etc.</w:t>
      </w:r>
    </w:p>
    <w:p>
      <w:pPr>
        <w:pStyle w:val=""/>
        <w:rPr>
          <w:sz w:val="24"/>
        </w:rPr>
      </w:pPr>
    </w:p>
    <w:p>
      <w:pPr>
        <w:pStyle w:val=""/>
      </w:pPr>
      <w:r>
        <w:rPr>
          <w:sz w:val="24"/>
        </w:rPr>
        <w:t>Second, the basis for the preparation of financial statements</w:t>
      </w:r>
    </w:p>
    <w:p>
      <w:pPr>
        <w:pStyle w:val=""/>
        <w:rPr>
          <w:sz w:val="24"/>
        </w:rPr>
      </w:pPr>
      <w:r>
        <w:rPr>
          <w:sz w:val="24"/>
        </w:rPr>
        <w:t xml:space="preserve">After the Foundation's management </w:t>
      </w:r>
      <w:r>
        <w:rPr>
          <w:sz w:val="24"/>
        </w:rPr>
        <w:t xml:space="preserve">of the Guangxi representative office </w:t>
      </w:r>
      <w:r>
        <w:rPr>
          <w:sz w:val="24"/>
        </w:rPr>
        <w:t xml:space="preserve">evaluated the foundation's ability to continue operations, it </w:t>
      </w:r>
      <w:r>
        <w:rPr>
          <w:sz w:val="24"/>
        </w:rPr>
        <w:t xml:space="preserve">is </w:t>
      </w:r>
      <w:r>
        <w:rPr>
          <w:sz w:val="24"/>
        </w:rPr>
        <w:t>believed that the Foundation did not have any issue</w:t>
      </w:r>
      <w:r>
        <w:rPr>
          <w:sz w:val="24"/>
        </w:rPr>
        <w:t>s</w:t>
      </w:r>
      <w:r>
        <w:rPr>
          <w:sz w:val="24"/>
        </w:rPr>
        <w:t xml:space="preserve"> or circumstance</w:t>
      </w:r>
      <w:r>
        <w:rPr>
          <w:sz w:val="24"/>
        </w:rPr>
        <w:t>s</w:t>
      </w:r>
      <w:r>
        <w:rPr>
          <w:sz w:val="24"/>
        </w:rPr>
        <w:t xml:space="preserve"> that could lead to significant doubts about continu</w:t>
      </w:r>
      <w:r>
        <w:rPr>
          <w:sz w:val="24"/>
        </w:rPr>
        <w:t>ous</w:t>
      </w:r>
      <w:r>
        <w:rPr>
          <w:sz w:val="24"/>
        </w:rPr>
        <w:t>ing</w:t>
      </w:r>
      <w:r>
        <w:rPr>
          <w:sz w:val="24"/>
        </w:rPr>
        <w:t xml:space="preserve"> operations. The financial statements of the Foundation were based on the assumption of continuous operations.</w:t>
      </w:r>
    </w:p>
    <w:p>
      <w:pPr>
        <w:pStyle w:val=""/>
        <w:rPr>
          <w:sz w:val="24"/>
        </w:rPr>
      </w:pPr>
    </w:p>
    <w:p>
      <w:pPr>
        <w:pStyle w:val=""/>
      </w:pPr>
      <w:r>
        <w:rPr>
          <w:sz w:val="24"/>
        </w:rPr>
        <w:t>Third, the financial statements are in line with the statement of the "non-profit organization accounting system"</w:t>
      </w:r>
    </w:p>
    <w:p>
      <w:pPr>
        <w:pStyle w:val=""/>
        <w:rPr>
          <w:sz w:val="24"/>
        </w:rPr>
      </w:pPr>
      <w:r>
        <w:rPr>
          <w:sz w:val="24"/>
        </w:rPr>
        <w:t>The preparation of the financial statements of the Gu</w:t>
      </w:r>
      <w:r>
        <w:rPr>
          <w:sz w:val="24"/>
        </w:rPr>
        <w:t>angxi Representative O</w:t>
      </w:r>
      <w:r>
        <w:rPr>
          <w:sz w:val="24"/>
        </w:rPr>
        <w:t>ffice of the Foundation is in line with the requirements of the “</w:t>
      </w:r>
      <w:r>
        <w:rPr>
          <w:sz w:val="24"/>
        </w:rPr>
        <w:t>Non-profit</w:t>
      </w:r>
      <w:r>
        <w:rPr>
          <w:sz w:val="24"/>
        </w:rPr>
        <w:t xml:space="preserve"> Organization Accounting System”, which truly and completely reflects the financial status, business activitie</w:t>
      </w:r>
      <w:r>
        <w:rPr>
          <w:sz w:val="24"/>
        </w:rPr>
        <w:t>s and cash flow of the Guangxi R</w:t>
      </w:r>
      <w:r>
        <w:rPr>
          <w:sz w:val="24"/>
        </w:rPr>
        <w:t>eprese</w:t>
      </w:r>
      <w:r>
        <w:rPr>
          <w:sz w:val="24"/>
        </w:rPr>
        <w:t>ntative O</w:t>
      </w:r>
      <w:r>
        <w:rPr>
          <w:sz w:val="24"/>
        </w:rPr>
        <w:t>ffice of the Foundation.</w:t>
      </w:r>
    </w:p>
    <w:p>
      <w:pPr>
        <w:pStyle w:val=""/>
        <w:rPr>
          <w:sz w:val="24"/>
        </w:rPr>
      </w:pPr>
    </w:p>
    <w:p>
      <w:pPr>
        <w:pStyle w:val=""/>
      </w:pPr>
      <w:r>
        <w:rPr>
          <w:sz w:val="24"/>
        </w:rPr>
        <w:t>Fourth, the main accounting policy</w:t>
      </w:r>
    </w:p>
    <w:p>
      <w:pPr>
        <w:pStyle w:val=""/>
      </w:pPr>
      <w:r>
        <w:rPr>
          <w:sz w:val="24"/>
        </w:rPr>
        <w:t>1. Accounting system</w:t>
      </w:r>
    </w:p>
    <w:p>
      <w:pPr>
        <w:pStyle w:val=""/>
        <w:rPr>
          <w:sz w:val="24"/>
        </w:rPr>
      </w:pPr>
      <w:r>
        <w:rPr>
          <w:sz w:val="24"/>
        </w:rPr>
        <w:t xml:space="preserve">The Guangxi Representative Office of the Foundation implements the “Public Non-Profit Organization Accounting System” issued by the Ministry of Finance of the </w:t>
      </w:r>
    </w:p>
    <w:p>
      <w:pPr>
        <w:pStyle w:val=""/>
      </w:pPr>
      <w:r>
        <w:rPr>
          <w:sz w:val="24"/>
        </w:rPr>
        <w:t>People's Republic of China and its supplementary provisions.</w:t>
      </w:r>
    </w:p>
    <w:p>
      <w:pPr>
        <w:pStyle w:val=""/>
      </w:pPr>
      <w:r>
        <w:rPr>
          <w:sz w:val="24"/>
        </w:rPr>
        <w:t>2. Accounting period</w:t>
      </w:r>
    </w:p>
    <w:p>
      <w:pPr>
        <w:pStyle w:val=""/>
      </w:pPr>
      <w:r>
        <w:rPr>
          <w:sz w:val="24"/>
        </w:rPr>
        <w:t>The Guangxi R</w:t>
      </w:r>
      <w:r>
        <w:rPr>
          <w:sz w:val="24"/>
        </w:rPr>
        <w:t>ep</w:t>
      </w:r>
      <w:r>
        <w:rPr>
          <w:sz w:val="24"/>
        </w:rPr>
        <w:t>resentative O</w:t>
      </w:r>
      <w:r>
        <w:rPr>
          <w:sz w:val="24"/>
        </w:rPr>
        <w:t>ffice of the Foundation will be a fiscal year from December 1st to December 31st.</w:t>
      </w:r>
    </w:p>
    <w:p>
      <w:pPr>
        <w:pStyle w:val=""/>
      </w:pPr>
      <w:r>
        <w:rPr>
          <w:sz w:val="24"/>
        </w:rPr>
        <w:t>3. Bookkeeping currency</w:t>
      </w:r>
    </w:p>
    <w:p>
      <w:pPr>
        <w:pStyle w:val=""/>
      </w:pPr>
      <w:r>
        <w:rPr>
          <w:sz w:val="24"/>
        </w:rPr>
        <w:t>The Guangxi representative office of the Foundation uses RMB as the bookkeeping base currency.</w:t>
      </w:r>
    </w:p>
    <w:p>
      <w:pPr>
        <w:pStyle w:val=""/>
      </w:pPr>
      <w:r>
        <w:rPr>
          <w:sz w:val="24"/>
        </w:rPr>
        <w:t>4. Accounting basis and pricing principle</w:t>
      </w:r>
    </w:p>
    <w:p>
      <w:pPr>
        <w:pStyle w:val=""/>
      </w:pPr>
      <w:r>
        <w:rPr>
          <w:sz w:val="24"/>
        </w:rPr>
        <w:t>The accounting of the Guangxi Representative O</w:t>
      </w:r>
      <w:r>
        <w:rPr>
          <w:sz w:val="24"/>
        </w:rPr>
        <w:t>ffice of the Foundation is based on the accrual basis, and the assets are based on historical cost.</w:t>
      </w:r>
    </w:p>
    <w:p>
      <w:pPr>
        <w:pStyle w:val=""/>
      </w:pPr>
      <w:r>
        <w:rPr>
          <w:sz w:val="24"/>
        </w:rPr>
        <w:t>5. Foreign currency business accounting method</w:t>
      </w:r>
    </w:p>
    <w:p>
      <w:pPr>
        <w:pStyle w:val=""/>
      </w:pPr>
      <w:r>
        <w:rPr>
          <w:sz w:val="24"/>
        </w:rPr>
        <w:t>The foreign currency business involved in the fiscal year of the Foundation's representative office in Guangxi shall be converted into RMB for the market exchange rate (middle price) on the actual business day (1st of the month), and monthly (year) for the monetary item at the end of the month (year) The market exchange rate at the end is adjusted, and the resulting exchange gains and losses are included in the current financial expenses or capitalized according to their purpose and nature.</w:t>
      </w:r>
    </w:p>
    <w:p>
      <w:pPr>
        <w:pStyle w:val=""/>
      </w:pPr>
      <w:r>
        <w:rPr>
          <w:sz w:val="24"/>
        </w:rPr>
        <w:t>6. Short-term investment accounting method</w:t>
      </w:r>
    </w:p>
    <w:p>
      <w:pPr>
        <w:pStyle w:val=""/>
      </w:pPr>
      <w:r>
        <w:rPr>
          <w:sz w:val="24"/>
        </w:rPr>
        <w:t xml:space="preserve">Short-term investment refers to investments held by the Guangxi Representative Office of the Foundation that can be realized at any time and are not </w:t>
      </w:r>
      <w:r>
        <w:rPr>
          <w:sz w:val="24"/>
        </w:rPr>
        <w:t xml:space="preserve">intended </w:t>
      </w:r>
      <w:r>
        <w:rPr>
          <w:sz w:val="24"/>
        </w:rPr>
        <w:t>to be held</w:t>
      </w:r>
      <w:r>
        <w:rPr>
          <w:sz w:val="24"/>
        </w:rPr>
        <w:t>prepared</w:t>
      </w:r>
      <w:r>
        <w:rPr>
          <w:sz w:val="24"/>
        </w:rPr>
        <w:t xml:space="preserve"> for more than one year (including one year), including stocks and bond investments.</w:t>
      </w:r>
    </w:p>
    <w:p>
      <w:pPr>
        <w:pStyle w:val=""/>
      </w:pPr>
      <w:r>
        <w:rPr>
          <w:sz w:val="24"/>
        </w:rPr>
        <w:t>Short-term investments are measured at the cost of investment when they are acquired.</w:t>
      </w:r>
    </w:p>
    <w:p>
      <w:pPr>
        <w:pStyle w:val=""/>
      </w:pPr>
      <w:r>
        <w:rPr>
          <w:sz w:val="24"/>
        </w:rPr>
        <w:t>When disposing of short-term investments, the difference between the actual price obtained and the book value of short-term investments shall be recognized as current investment gains and losses.</w:t>
      </w:r>
    </w:p>
    <w:p>
      <w:pPr>
        <w:pStyle w:val=""/>
      </w:pPr>
      <w:r>
        <w:rPr>
          <w:sz w:val="24"/>
        </w:rPr>
        <w:t>7. Long-term investment accounting method</w:t>
      </w:r>
    </w:p>
    <w:p>
      <w:pPr>
        <w:pStyle w:val=""/>
      </w:pPr>
      <w:r>
        <w:rPr>
          <w:sz w:val="24"/>
        </w:rPr>
        <w:t>(1) Long-term equity investment</w:t>
      </w:r>
    </w:p>
    <w:p>
      <w:pPr>
        <w:pStyle w:val=""/>
      </w:pPr>
      <w:r>
        <w:rPr>
          <w:sz w:val="24"/>
        </w:rPr>
        <w:t>The long-term equity investme</w:t>
      </w:r>
      <w:r>
        <w:rPr>
          <w:sz w:val="24"/>
        </w:rPr>
        <w:t>nt of the Foundation's Guangxi Representative O</w:t>
      </w:r>
      <w:r>
        <w:rPr>
          <w:sz w:val="24"/>
        </w:rPr>
        <w:t>ffice is valued at the initial investment cost when it is acquired. If there is no control, joint control or significant influence on the investee, the cost method shall be used for accounting; if the invest</w:t>
      </w:r>
      <w:r>
        <w:rPr>
          <w:sz w:val="24"/>
        </w:rPr>
        <w:t>or</w:t>
      </w:r>
      <w:r>
        <w:rPr>
          <w:sz w:val="24"/>
        </w:rPr>
        <w:t>ee</w:t>
      </w:r>
      <w:r>
        <w:rPr>
          <w:sz w:val="24"/>
        </w:rPr>
        <w:t xml:space="preserve"> has control, joint control </w:t>
      </w:r>
      <w:r>
        <w:rPr>
          <w:sz w:val="24"/>
        </w:rPr>
        <w:t xml:space="preserve">or </w:t>
      </w:r>
      <w:r>
        <w:rPr>
          <w:sz w:val="24"/>
        </w:rPr>
        <w:t xml:space="preserve">and </w:t>
      </w:r>
      <w:r>
        <w:rPr>
          <w:sz w:val="24"/>
        </w:rPr>
        <w:t xml:space="preserve">significant influence, it shall be accounted for </w:t>
      </w:r>
      <w:r>
        <w:rPr>
          <w:sz w:val="24"/>
        </w:rPr>
        <w:t xml:space="preserve">with </w:t>
      </w:r>
      <w:r>
        <w:rPr>
          <w:sz w:val="24"/>
        </w:rPr>
        <w:t xml:space="preserve">using </w:t>
      </w:r>
      <w:r>
        <w:rPr>
          <w:sz w:val="24"/>
        </w:rPr>
        <w:t>the equity method.</w:t>
      </w:r>
    </w:p>
    <w:p>
      <w:pPr>
        <w:pStyle w:val=""/>
      </w:pPr>
      <w:r>
        <w:rPr>
          <w:sz w:val="24"/>
        </w:rPr>
        <w:t>(2) Long-term debt investment</w:t>
      </w:r>
    </w:p>
    <w:p>
      <w:pPr>
        <w:pStyle w:val=""/>
      </w:pPr>
      <w:r>
        <w:rPr>
          <w:sz w:val="24"/>
        </w:rPr>
        <w:t>The long-term debt investment of the Foun</w:t>
      </w:r>
      <w:r>
        <w:rPr>
          <w:sz w:val="24"/>
        </w:rPr>
        <w:t>dation's Guangxi Representative O</w:t>
      </w:r>
      <w:r>
        <w:rPr>
          <w:sz w:val="24"/>
        </w:rPr>
        <w:t>ffice is based on the actual cost at the time of acquisition as the initial investment cost. Long-term debt investments are accrued on a straight-line basis for interest and amortization of bonds.</w:t>
      </w:r>
    </w:p>
    <w:p>
      <w:pPr>
        <w:pStyle w:val=""/>
      </w:pPr>
      <w:r>
        <w:rPr>
          <w:sz w:val="24"/>
        </w:rPr>
        <w:t>(3) Long-term investment impairment provision</w:t>
      </w:r>
    </w:p>
    <w:p>
      <w:pPr>
        <w:pStyle w:val=""/>
      </w:pPr>
      <w:r>
        <w:rPr>
          <w:sz w:val="24"/>
        </w:rPr>
        <w:t>At th</w:t>
      </w:r>
      <w:r>
        <w:rPr>
          <w:sz w:val="24"/>
        </w:rPr>
        <w:t>e end of the term, the Guangxi Representative O</w:t>
      </w:r>
      <w:r>
        <w:rPr>
          <w:sz w:val="24"/>
        </w:rPr>
        <w:t>ffice will inspect the long-term investment item by item, and make provision for long-term investment impairment according to the difference between the recoverable amount of the individual investment and the book value.</w:t>
      </w:r>
    </w:p>
    <w:p>
      <w:pPr>
        <w:pStyle w:val=""/>
      </w:pPr>
      <w:r>
        <w:rPr>
          <w:sz w:val="24"/>
        </w:rPr>
        <w:t>8. Fixed assets valuation and its depreciation method</w:t>
      </w:r>
    </w:p>
    <w:p>
      <w:pPr>
        <w:pStyle w:val=""/>
      </w:pPr>
      <w:r>
        <w:rPr>
          <w:sz w:val="24"/>
        </w:rPr>
        <w:t>Fixed assets refer to assets held for administrative purposes, provision of services, production of goods or rental purposes, with an expected useful life of more than one year and a high unit value.</w:t>
      </w:r>
    </w:p>
    <w:p>
      <w:pPr>
        <w:pStyle w:val=""/>
      </w:pPr>
      <w:r>
        <w:rPr>
          <w:sz w:val="24"/>
        </w:rPr>
        <w:t>(1) Fixed assets are valued at the actual cost at the time of acquisition.</w:t>
      </w:r>
    </w:p>
    <w:p>
      <w:pPr>
        <w:pStyle w:val=""/>
      </w:pPr>
      <w:r>
        <w:rPr>
          <w:sz w:val="24"/>
        </w:rPr>
        <w:t>(2) Fixed assets are depreciated according to the straight-line method of the year specified in the Tax Law (straight line method).</w:t>
      </w:r>
    </w:p>
    <w:p>
      <w:pPr>
        <w:pStyle w:val=""/>
      </w:pPr>
      <w:r>
        <w:rPr>
          <w:sz w:val="24"/>
        </w:rPr>
        <w:t>(3) Fixed assets not depreciated</w:t>
      </w:r>
    </w:p>
    <w:p>
      <w:pPr>
        <w:pStyle w:val=""/>
      </w:pPr>
      <w:r>
        <w:rPr>
          <w:sz w:val="24"/>
        </w:rPr>
        <w:t>Historical artifacts, works of art, and other collections of cultural or historical value for long-term or permanent preservation, for purposes such as exhibitions, education, or research, are accounted for as fixed assets and do not require depreciation.</w:t>
      </w:r>
    </w:p>
    <w:p>
      <w:pPr>
        <w:pStyle w:val=""/>
      </w:pPr>
      <w:r>
        <w:rPr>
          <w:sz w:val="24"/>
        </w:rPr>
        <w:t>(4) Accounting method for construction in progress</w:t>
      </w:r>
    </w:p>
    <w:p>
      <w:pPr>
        <w:pStyle w:val=""/>
        <w:rPr>
          <w:sz w:val="24"/>
        </w:rPr>
      </w:pPr>
      <w:r>
        <w:rPr>
          <w:sz w:val="24"/>
        </w:rPr>
        <w:t>The construction in progress should determine its engineering cost according to the actual expenditure incurred, including pre-construction preparation, construction work under construction, installation engineering, and technical renovation project.</w:t>
      </w:r>
    </w:p>
    <w:p>
      <w:pPr>
        <w:pStyle w:val=""/>
        <w:rPr>
          <w:sz w:val="24"/>
        </w:rPr>
      </w:pPr>
    </w:p>
    <w:p>
      <w:pPr>
        <w:pStyle w:val=""/>
      </w:pPr>
      <w:r>
        <w:rPr>
          <w:sz w:val="24"/>
        </w:rPr>
        <w:t>9. Valuation and amortization method of intangible assets</w:t>
      </w:r>
    </w:p>
    <w:p>
      <w:pPr>
        <w:pStyle w:val=""/>
      </w:pPr>
      <w:r>
        <w:rPr>
          <w:sz w:val="24"/>
        </w:rPr>
        <w:t>The intangible assets acquired by the Foundation's Guangxi representative office for purchase or application for legal proceedings are accounted for at the actual cost at the time of acquisition.</w:t>
      </w:r>
    </w:p>
    <w:p>
      <w:pPr>
        <w:pStyle w:val=""/>
      </w:pPr>
      <w:r>
        <w:rPr>
          <w:sz w:val="24"/>
        </w:rPr>
        <w:t>10. Trustee agent assets</w:t>
      </w:r>
    </w:p>
    <w:p>
      <w:pPr>
        <w:pStyle w:val=""/>
      </w:pPr>
      <w:r>
        <w:rPr>
          <w:sz w:val="24"/>
        </w:rPr>
        <w:t xml:space="preserve">The fiduciary agency assets refer to the </w:t>
      </w:r>
      <w:r>
        <w:rPr>
          <w:sz w:val="24"/>
        </w:rPr>
        <w:t>assets received by the Guangxi Representative O</w:t>
      </w:r>
      <w:r>
        <w:rPr>
          <w:sz w:val="24"/>
        </w:rPr>
        <w:t>ffice of the Foundation after accepting the entrust</w:t>
      </w:r>
      <w:r>
        <w:rPr>
          <w:sz w:val="24"/>
        </w:rPr>
        <w:t>ing</w:t>
      </w:r>
      <w:r>
        <w:rPr>
          <w:sz w:val="24"/>
        </w:rPr>
        <w:t>ed</w:t>
      </w:r>
      <w:r>
        <w:rPr>
          <w:sz w:val="24"/>
        </w:rPr>
        <w:t xml:space="preserve"> party to engage in the entrusted agency business.</w:t>
      </w:r>
    </w:p>
    <w:p>
      <w:pPr>
        <w:pStyle w:val=""/>
      </w:pPr>
      <w:r>
        <w:rPr>
          <w:sz w:val="24"/>
        </w:rPr>
        <w:t>11. Principles for confirming the estimated liabilities</w:t>
      </w:r>
    </w:p>
    <w:p>
      <w:pPr>
        <w:pStyle w:val=""/>
      </w:pPr>
      <w:r>
        <w:rPr>
          <w:sz w:val="24"/>
        </w:rPr>
        <w:t>If the obligations relating to a contingent event meet the following conditions, the Foundation recognizes it as a liability and measures it by the best estimate of the expenditure required to settle the liability and reflects it in a separate item in the balance sheet:</w:t>
      </w:r>
    </w:p>
    <w:p>
      <w:pPr>
        <w:pStyle w:val=""/>
      </w:pPr>
      <w:r>
        <w:rPr>
          <w:sz w:val="24"/>
        </w:rPr>
        <w:t>(1) This obligation is the current obligation of the Foundation.</w:t>
      </w:r>
    </w:p>
    <w:p>
      <w:pPr>
        <w:pStyle w:val=""/>
      </w:pPr>
      <w:r>
        <w:rPr>
          <w:sz w:val="24"/>
        </w:rPr>
        <w:t>(2) The performance of this obligation is likely to result in the outflow of economic benefits.</w:t>
      </w:r>
    </w:p>
    <w:p>
      <w:pPr>
        <w:pStyle w:val=""/>
      </w:pPr>
      <w:r>
        <w:rPr>
          <w:sz w:val="24"/>
        </w:rPr>
        <w:t>(3) The amount of the obligation can be reliably measured.</w:t>
      </w:r>
    </w:p>
    <w:p>
      <w:pPr>
        <w:pStyle w:val=""/>
      </w:pPr>
      <w:r>
        <w:rPr>
          <w:sz w:val="24"/>
        </w:rPr>
        <w:t>12. Restricted net assets and non-restrictive net assets recognition principles</w:t>
      </w:r>
    </w:p>
    <w:p>
      <w:pPr>
        <w:pStyle w:val=""/>
      </w:pPr>
      <w:r>
        <w:rPr>
          <w:sz w:val="24"/>
        </w:rPr>
        <w:t>The use of assets or assets (such as the investment interests and interest of assets) is determined by the time limit or (and) use of the asset provider or the relevant national laws and administrative regulations, and the resulting net assets It is a defined net asset; other net assets are non-restrictive net assets.</w:t>
      </w:r>
    </w:p>
    <w:p>
      <w:pPr>
        <w:pStyle w:val=""/>
      </w:pPr>
      <w:r>
        <w:rPr>
          <w:sz w:val="24"/>
        </w:rPr>
        <w:t>13. Income recognition principle</w:t>
      </w:r>
    </w:p>
    <w:p>
      <w:pPr>
        <w:pStyle w:val=""/>
      </w:pPr>
      <w:r>
        <w:rPr>
          <w:sz w:val="24"/>
        </w:rPr>
        <w:t>Revenue refers to the inflow of economic benefits or service potential obtained by non-profit organizations of non-profit organizations that result in an increase in net assets during the period. Income should be divided into donation income, government subsidy income, service income, investment income, merchandise sales income and other income according to its source.</w:t>
      </w:r>
    </w:p>
    <w:p>
      <w:pPr>
        <w:pStyle w:val=""/>
      </w:pPr>
      <w:r>
        <w:rPr>
          <w:sz w:val="24"/>
        </w:rPr>
        <w:t>The Guangxi Representative O</w:t>
      </w:r>
      <w:r>
        <w:rPr>
          <w:sz w:val="24"/>
        </w:rPr>
        <w:t>ffice of the Foundation confirms the realization of income according to the following provisions, and accounts for the realized income and accounts for the current profit and loss.</w:t>
      </w:r>
    </w:p>
    <w:p>
      <w:pPr>
        <w:pStyle w:val=""/>
      </w:pPr>
      <w:r>
        <w:rPr>
          <w:sz w:val="24"/>
        </w:rPr>
        <w:t>When the Foundation Guangxi Representative Office recognizes income, it should distinguish between income generated by exchange transactions and income generated by non-exchange transactions.</w:t>
      </w:r>
    </w:p>
    <w:p>
      <w:pPr>
        <w:pStyle w:val=""/>
      </w:pPr>
      <w:r>
        <w:rPr>
          <w:sz w:val="24"/>
        </w:rPr>
        <w:t>The sale of goods has transferred the main risks and rewards of ownership of the goods to the buyer; neither retains the continuing management rights normally associated with ownership, nor controls the goods that have been sold; the economic benefits associated wit</w:t>
      </w:r>
      <w:r>
        <w:rPr>
          <w:sz w:val="24"/>
        </w:rPr>
        <w:t>h the transactions can flow in r</w:t>
      </w:r>
      <w:r>
        <w:rPr>
          <w:sz w:val="24"/>
        </w:rPr>
        <w:t>evenue is recognized when the relevant income and costs can be reliably measured.</w:t>
      </w:r>
    </w:p>
    <w:p>
      <w:pPr>
        <w:pStyle w:val=""/>
      </w:pPr>
      <w:r>
        <w:rPr>
          <w:sz w:val="24"/>
        </w:rPr>
        <w:t>For labor services that are provided and started in the same fiscal year, the income shall be recognized when the labor service is completed; if the start and completion of the labor service are in different fiscal years, the income may be confirmed according to the workload completed at the completion schedule.</w:t>
      </w:r>
    </w:p>
    <w:p>
      <w:pPr>
        <w:pStyle w:val=""/>
      </w:pPr>
      <w:r>
        <w:rPr>
          <w:sz w:val="24"/>
        </w:rPr>
        <w:t>The transfer of asset use rights, the economic benefits associated with the transaction can flow in; the amount of income can be reliably measured.</w:t>
      </w:r>
    </w:p>
    <w:p>
      <w:pPr>
        <w:pStyle w:val=""/>
      </w:pPr>
      <w:r>
        <w:rPr>
          <w:sz w:val="24"/>
        </w:rPr>
        <w:t>Unconditional donations or government grants, revenues are recognized upon receipt; conditional donations or government grants recognize income when acquiring donated assets or government grant assets; but when the foundation exists, it is necessary to repay all or part of the donated assets or the corresponding amount In the current obligation, a liability and expense should be recognized based on the amount to be repaid.</w:t>
      </w:r>
    </w:p>
    <w:p>
      <w:pPr>
        <w:pStyle w:val=""/>
        <w:rPr>
          <w:sz w:val="24"/>
        </w:rPr>
      </w:pPr>
      <w:r>
        <w:rPr>
          <w:sz w:val="24"/>
        </w:rPr>
        <w:t>Non-monetary assets that accept donations shall be calculated at their fair value. When donating to the Foundation, the donor shall provide proof of the fair value of the donated non-monetary assets. If the above-mentioned certificate cannot be provided, it shall not issue a public welfare donation bill or a receipt for the “General Non-Tax Income Payment”</w:t>
      </w:r>
      <w:r>
        <w:rPr>
          <w:sz w:val="24"/>
        </w:rPr>
        <w:t xml:space="preserve"> </w:t>
      </w:r>
      <w:r>
        <w:rPr>
          <w:sz w:val="24"/>
        </w:rPr>
        <w:t>or</w:t>
      </w:r>
      <w:r>
        <w:rPr>
          <w:sz w:val="24"/>
        </w:rPr>
        <w:t xml:space="preserve"> </w:t>
      </w:r>
      <w:r>
        <w:rPr>
          <w:sz w:val="24"/>
        </w:rPr>
        <w:t xml:space="preserve">. </w:t>
      </w:r>
      <w:r>
        <w:rPr>
          <w:sz w:val="24"/>
        </w:rPr>
        <w:t>c</w:t>
      </w:r>
      <w:r>
        <w:rPr>
          <w:sz w:val="24"/>
        </w:rPr>
        <w:t>C</w:t>
      </w:r>
      <w:r>
        <w:rPr>
          <w:sz w:val="24"/>
        </w:rPr>
        <w:t>onfirmed as donation income.</w:t>
      </w:r>
    </w:p>
    <w:p>
      <w:pPr>
        <w:pStyle w:val=""/>
        <w:rPr>
          <w:sz w:val="24"/>
        </w:rPr>
      </w:pPr>
    </w:p>
    <w:p>
      <w:pPr>
        <w:pStyle w:val=""/>
        <w:rPr>
          <w:sz w:val="24"/>
        </w:rPr>
      </w:pPr>
      <w:r>
        <w:rPr>
          <w:sz w:val="24"/>
        </w:rPr>
        <w:t>5</w:t>
      </w:r>
      <w:r>
        <w:rPr>
          <w:sz w:val="24"/>
        </w:rPr>
        <w:t>. Notes on major items in the financial statements</w:t>
      </w:r>
    </w:p>
    <w:p>
      <w:pPr>
        <w:pStyle w:val=""/>
        <w:rPr>
          <w:sz w:val="24"/>
        </w:rPr>
      </w:pPr>
    </w:p>
    <w:p>
      <w:pPr>
        <w:pStyle w:val=""/>
      </w:pPr>
      <w:r>
        <w:rPr>
          <w:sz w:val="24"/>
        </w:rPr>
        <w:t>1. Monetary funds</w:t>
      </w:r>
    </w:p>
    <w:p>
      <w:pPr>
        <w:pStyle w:val=""/>
      </w:pPr>
      <w:r>
        <w:rPr>
          <w:sz w:val="24"/>
        </w:rPr>
        <w:t>Cash RMB 0.00</w:t>
      </w:r>
    </w:p>
    <w:p>
      <w:pPr>
        <w:pStyle w:val=""/>
        <w:rPr>
          <w:sz w:val="24"/>
        </w:rPr>
      </w:pPr>
      <w:r>
        <w:rPr>
          <w:sz w:val="24"/>
        </w:rPr>
        <w:t>Bank deposits RMB 566,664.14</w:t>
      </w:r>
    </w:p>
    <w:p>
      <w:pPr>
        <w:pStyle w:val=""/>
        <w:rPr>
          <w:sz w:val="24"/>
        </w:rPr>
      </w:pPr>
      <w:r>
        <w:rPr>
          <w:sz w:val="24"/>
        </w:rPr>
        <w:t>   Among them: Guangxi representative office on public accounts 566,664.14</w:t>
      </w:r>
    </w:p>
    <w:p>
      <w:pPr>
        <w:pStyle w:val=""/>
      </w:pPr>
      <w:r>
        <w:rPr>
          <w:sz w:val="24"/>
        </w:rPr>
        <w:t>     </w:t>
      </w:r>
    </w:p>
    <w:p>
      <w:pPr>
        <w:pStyle w:val=""/>
      </w:pPr>
      <w:r>
        <w:rPr>
          <w:sz w:val="24"/>
        </w:rPr>
        <w:t>2. Net assets</w:t>
      </w:r>
    </w:p>
    <w:p>
      <w:pPr>
        <w:pStyle w:val=""/>
      </w:pPr>
      <w:r>
        <w:rPr>
          <w:sz w:val="24"/>
        </w:rPr>
        <w:t>Project Balance at the beginning of the year Increase in the current year Decrease in the year-end book balance</w:t>
      </w:r>
    </w:p>
    <w:p>
      <w:pPr>
        <w:pStyle w:val=""/>
      </w:pPr>
      <w:r>
        <w:rPr>
          <w:sz w:val="24"/>
        </w:rPr>
        <w:t>1. Limited net assets</w:t>
      </w:r>
    </w:p>
    <w:p>
      <w:pPr>
        <w:pStyle w:val=""/>
      </w:pPr>
      <w:r>
        <w:rPr>
          <w:sz w:val="24"/>
        </w:rPr>
        <w:t xml:space="preserve">2. Unrestricted net assets 199,299.66 </w:t>
      </w:r>
      <w:r>
        <w:rPr>
          <w:sz w:val="24"/>
        </w:rPr>
        <w:t xml:space="preserve"> </w:t>
      </w:r>
      <w:r>
        <w:rPr>
          <w:sz w:val="24"/>
        </w:rPr>
        <w:t>367,</w:t>
      </w:r>
      <w:r>
        <w:rPr>
          <w:sz w:val="24"/>
        </w:rPr>
        <w:t xml:space="preserve"> </w:t>
      </w:r>
      <w:r>
        <w:rPr>
          <w:sz w:val="24"/>
        </w:rPr>
        <w:t>364.48</w:t>
      </w:r>
      <w:r>
        <w:rPr>
          <w:sz w:val="24"/>
        </w:rPr>
        <w:t xml:space="preserve"> </w:t>
      </w:r>
      <w:r>
        <w:rPr>
          <w:sz w:val="24"/>
        </w:rPr>
        <w:t xml:space="preserve"> 566,664.14</w:t>
      </w:r>
    </w:p>
    <w:p>
      <w:pPr>
        <w:pStyle w:val=""/>
      </w:pPr>
      <w:r>
        <w:rPr>
          <w:sz w:val="24"/>
        </w:rPr>
        <w:t xml:space="preserve">Total 199,299.66 </w:t>
      </w:r>
      <w:r>
        <w:rPr>
          <w:sz w:val="24"/>
        </w:rPr>
        <w:t xml:space="preserve"> </w:t>
      </w:r>
      <w:r>
        <w:rPr>
          <w:sz w:val="24"/>
        </w:rPr>
        <w:t>367,</w:t>
      </w:r>
      <w:r>
        <w:rPr>
          <w:sz w:val="24"/>
        </w:rPr>
        <w:t xml:space="preserve"> </w:t>
      </w:r>
      <w:r>
        <w:rPr>
          <w:sz w:val="24"/>
        </w:rPr>
        <w:t xml:space="preserve">364.48 </w:t>
      </w:r>
      <w:r>
        <w:rPr>
          <w:sz w:val="24"/>
        </w:rPr>
        <w:t xml:space="preserve"> </w:t>
      </w:r>
      <w:r>
        <w:rPr>
          <w:sz w:val="24"/>
        </w:rPr>
        <w:t>566,664.14</w:t>
      </w:r>
    </w:p>
    <w:p>
      <w:pPr>
        <w:pStyle w:val=""/>
      </w:pPr>
      <w:r>
        <w:rPr>
          <w:sz w:val="24"/>
        </w:rPr>
        <w:t>3. Large donation income</w:t>
      </w:r>
    </w:p>
    <w:p>
      <w:pPr>
        <w:pStyle w:val=""/>
      </w:pPr>
      <w:r>
        <w:rPr>
          <w:sz w:val="24"/>
        </w:rPr>
        <w:t>The amount of the donation in the previous year</w:t>
      </w:r>
    </w:p>
    <w:p>
      <w:pPr>
        <w:pStyle w:val=""/>
        <w:rPr>
          <w:sz w:val="24"/>
        </w:rPr>
      </w:pPr>
      <w:r>
        <w:rPr>
          <w:sz w:val="24"/>
        </w:rPr>
        <w:t>Limitation non-restrictive subtotal limited non-restrictive subtotal</w:t>
      </w:r>
    </w:p>
    <w:p>
      <w:pPr>
        <w:pStyle w:val=""/>
        <w:rPr>
          <w:sz w:val="24"/>
        </w:rPr>
      </w:pPr>
    </w:p>
    <w:p>
      <w:pPr>
        <w:pStyle w:val=""/>
      </w:pPr>
      <w:r>
        <w:rPr>
          <w:sz w:val="24"/>
        </w:rPr>
        <w:t>American donor</w:t>
      </w:r>
    </w:p>
    <w:p>
      <w:pPr>
        <w:pStyle w:val=""/>
      </w:pPr>
      <w:r>
        <w:rPr>
          <w:sz w:val="24"/>
        </w:rPr>
        <w:t xml:space="preserve">Of which: </w:t>
      </w:r>
      <w:r>
        <w:rPr>
          <w:sz w:val="24"/>
        </w:rPr>
        <w:t xml:space="preserve">current </w:t>
      </w:r>
      <w:r>
        <w:rPr>
          <w:sz w:val="24"/>
        </w:rPr>
        <w:t xml:space="preserve">donation 1,114,047.24 </w:t>
      </w:r>
      <w:r>
        <w:rPr>
          <w:sz w:val="24"/>
        </w:rPr>
        <w:t xml:space="preserve">subtotal </w:t>
      </w:r>
      <w:r>
        <w:rPr>
          <w:sz w:val="24"/>
        </w:rPr>
        <w:t>1,114,</w:t>
      </w:r>
      <w:r>
        <w:rPr>
          <w:sz w:val="24"/>
        </w:rPr>
        <w:t xml:space="preserve"> </w:t>
      </w:r>
      <w:r>
        <w:rPr>
          <w:sz w:val="24"/>
        </w:rPr>
        <w:t xml:space="preserve">047.24 </w:t>
      </w:r>
      <w:r>
        <w:rPr>
          <w:sz w:val="24"/>
        </w:rPr>
        <w:t xml:space="preserve">previous year donation </w:t>
      </w:r>
      <w:r>
        <w:rPr>
          <w:sz w:val="24"/>
        </w:rPr>
        <w:t xml:space="preserve">543,826.47 </w:t>
      </w:r>
      <w:r>
        <w:rPr>
          <w:sz w:val="24"/>
        </w:rPr>
        <w:t xml:space="preserve">subtotal </w:t>
      </w:r>
      <w:r>
        <w:rPr>
          <w:sz w:val="24"/>
        </w:rPr>
        <w:t>543,</w:t>
      </w:r>
      <w:r>
        <w:rPr>
          <w:sz w:val="24"/>
        </w:rPr>
        <w:t xml:space="preserve"> </w:t>
      </w:r>
      <w:r>
        <w:rPr>
          <w:sz w:val="24"/>
        </w:rPr>
        <w:t>826.47</w:t>
      </w:r>
    </w:p>
    <w:p>
      <w:pPr>
        <w:pStyle w:val=""/>
      </w:pPr>
      <w:r>
        <w:rPr>
          <w:sz w:val="24"/>
        </w:rPr>
        <w:t>     Donation</w:t>
      </w:r>
    </w:p>
    <w:p>
      <w:pPr>
        <w:pStyle w:val=""/>
      </w:pPr>
      <w:r>
        <w:rPr>
          <w:sz w:val="24"/>
        </w:rPr>
        <w:t>Total 1,114,047.24 1,114,047.24 543,826.47 543,826.47</w:t>
      </w:r>
    </w:p>
    <w:p>
      <w:pPr>
        <w:pStyle w:val=""/>
        <w:rPr>
          <w:sz w:val="24"/>
        </w:rPr>
      </w:pPr>
    </w:p>
    <w:p>
      <w:pPr>
        <w:pStyle w:val=""/>
      </w:pPr>
      <w:r>
        <w:rPr>
          <w:sz w:val="24"/>
        </w:rPr>
        <w:t>4. Business activity costs</w:t>
      </w:r>
    </w:p>
    <w:p>
      <w:pPr>
        <w:pStyle w:val=""/>
        <w:rPr>
          <w:sz w:val="24"/>
        </w:rPr>
      </w:pPr>
      <w:r>
        <w:rPr>
          <w:sz w:val="24"/>
        </w:rPr>
        <w:t>Item</w:t>
      </w:r>
      <w:r>
        <w:rPr>
          <w:sz w:val="24"/>
        </w:rPr>
        <w:t>.</w:t>
      </w:r>
      <w:r>
        <w:rPr>
          <w:sz w:val="24"/>
        </w:rPr>
        <w:t xml:space="preserve"> The amount of the current year </w:t>
      </w:r>
    </w:p>
    <w:p>
      <w:pPr>
        <w:pStyle w:val=""/>
      </w:pPr>
      <w:r>
        <w:rPr>
          <w:sz w:val="24"/>
        </w:rPr>
        <w:t>The amount of the previous year</w:t>
      </w:r>
    </w:p>
    <w:p>
      <w:pPr>
        <w:pStyle w:val=""/>
      </w:pPr>
      <w:r>
        <w:rPr>
          <w:sz w:val="24"/>
        </w:rPr>
        <w:t>Donation project cost 791,024.10 337,399.35</w:t>
      </w:r>
    </w:p>
    <w:p>
      <w:pPr>
        <w:pStyle w:val=""/>
      </w:pPr>
      <w:r>
        <w:rPr>
          <w:sz w:val="24"/>
        </w:rPr>
        <w:t>Among them: the donation of funds in the district 607,324.10 216,199.35</w:t>
      </w:r>
    </w:p>
    <w:p>
      <w:pPr>
        <w:pStyle w:val=""/>
      </w:pPr>
      <w:r>
        <w:rPr>
          <w:sz w:val="24"/>
        </w:rPr>
        <w:t>Out-of-area donations to schools 183,700.00 121,200.00</w:t>
      </w:r>
    </w:p>
    <w:p>
      <w:pPr>
        <w:pStyle w:val=""/>
      </w:pPr>
      <w:r>
        <w:rPr>
          <w:sz w:val="24"/>
        </w:rPr>
        <w:t>Total 791,024.10 337,399.35</w:t>
      </w:r>
    </w:p>
    <w:p>
      <w:pPr>
        <w:pStyle w:val=""/>
        <w:rPr>
          <w:sz w:val="24"/>
        </w:rPr>
      </w:pPr>
    </w:p>
    <w:p>
      <w:pPr>
        <w:pStyle w:val=""/>
      </w:pPr>
      <w:r>
        <w:rPr>
          <w:sz w:val="24"/>
        </w:rPr>
        <w:t>5, management fees</w:t>
      </w:r>
    </w:p>
    <w:p>
      <w:pPr>
        <w:pStyle w:val=""/>
        <w:rPr>
          <w:sz w:val="24"/>
        </w:rPr>
      </w:pPr>
      <w:r>
        <w:rPr>
          <w:sz w:val="24"/>
        </w:rPr>
        <w:t>Item</w:t>
      </w:r>
      <w:r>
        <w:rPr>
          <w:sz w:val="24"/>
        </w:rPr>
        <w:t>.</w:t>
      </w:r>
      <w:r>
        <w:rPr>
          <w:sz w:val="24"/>
        </w:rPr>
        <w:t xml:space="preserve"> The amount of the current year </w:t>
      </w:r>
    </w:p>
    <w:p>
      <w:pPr>
        <w:pStyle w:val=""/>
      </w:pPr>
      <w:r>
        <w:rPr>
          <w:sz w:val="24"/>
        </w:rPr>
        <w:t>The amount of the previous year</w:t>
      </w:r>
    </w:p>
    <w:p>
      <w:pPr>
        <w:pStyle w:val=""/>
      </w:pPr>
      <w:r>
        <w:rPr>
          <w:sz w:val="24"/>
        </w:rPr>
        <w:t>1. Administrative staff costs 58,992.54 7,000.00</w:t>
      </w:r>
    </w:p>
    <w:p>
      <w:pPr>
        <w:pStyle w:val=""/>
      </w:pPr>
      <w:r>
        <w:rPr>
          <w:sz w:val="24"/>
        </w:rPr>
        <w:t>2. Administrative management items and service expenses</w:t>
      </w:r>
    </w:p>
    <w:p>
      <w:pPr>
        <w:pStyle w:val=""/>
      </w:pPr>
      <w:r>
        <w:rPr>
          <w:sz w:val="24"/>
        </w:rPr>
        <w:t xml:space="preserve">3. </w:t>
      </w:r>
      <w:r>
        <w:rPr>
          <w:sz w:val="24"/>
        </w:rPr>
        <w:t>Depreciation (amortization) and operation and maintenance expenses of assets used by administrative management offices</w:t>
      </w:r>
    </w:p>
    <w:p>
      <w:pPr>
        <w:pStyle w:val=""/>
      </w:pPr>
      <w:r>
        <w:rPr>
          <w:sz w:val="24"/>
        </w:rPr>
        <w:t>Of which: real estate loss and usage fees</w:t>
      </w:r>
    </w:p>
    <w:p>
      <w:pPr>
        <w:pStyle w:val=""/>
      </w:pPr>
      <w:r>
        <w:rPr>
          <w:sz w:val="24"/>
        </w:rPr>
        <w:t>Transportation fee</w:t>
      </w:r>
    </w:p>
    <w:p>
      <w:pPr>
        <w:pStyle w:val=""/>
      </w:pPr>
      <w:r>
        <w:rPr>
          <w:sz w:val="24"/>
        </w:rPr>
        <w:t>Amortization of intangible assets</w:t>
      </w:r>
    </w:p>
    <w:p>
      <w:pPr>
        <w:pStyle w:val=""/>
      </w:pPr>
      <w:r>
        <w:rPr>
          <w:sz w:val="24"/>
        </w:rPr>
        <w:t>Other</w:t>
      </w:r>
    </w:p>
    <w:p>
      <w:pPr>
        <w:pStyle w:val=""/>
      </w:pPr>
      <w:r>
        <w:rPr>
          <w:sz w:val="24"/>
        </w:rPr>
        <w:t>4. Asset impairment and disposal losses</w:t>
      </w:r>
    </w:p>
    <w:p>
      <w:pPr>
        <w:pStyle w:val=""/>
      </w:pPr>
      <w:r>
        <w:rPr>
          <w:sz w:val="24"/>
        </w:rPr>
        <w:t>5. Taxes and fees charged to management fees</w:t>
      </w:r>
    </w:p>
    <w:p>
      <w:pPr>
        <w:pStyle w:val=""/>
      </w:pPr>
      <w:r>
        <w:rPr>
          <w:sz w:val="24"/>
        </w:rPr>
        <w:t>Of which: property tax</w:t>
      </w:r>
    </w:p>
    <w:p>
      <w:pPr>
        <w:pStyle w:val=""/>
      </w:pPr>
      <w:r>
        <w:rPr>
          <w:sz w:val="24"/>
        </w:rPr>
        <w:t>V</w:t>
      </w:r>
      <w:r>
        <w:rPr>
          <w:sz w:val="24"/>
        </w:rPr>
        <w:t>ehicle usage tax</w:t>
      </w:r>
      <w:r>
        <w:rPr>
          <w:sz w:val="24"/>
        </w:rPr>
        <w:tab/>
      </w:r>
      <w:r>
        <w:rPr>
          <w:sz w:val="24"/>
        </w:rPr>
        <w:tab/>
      </w:r>
    </w:p>
    <w:p>
      <w:pPr>
        <w:pStyle w:val=""/>
      </w:pPr>
      <w:r>
        <w:rPr>
          <w:sz w:val="24"/>
        </w:rPr>
        <w:t>L</w:t>
      </w:r>
      <w:r>
        <w:rPr>
          <w:sz w:val="24"/>
        </w:rPr>
        <w:t>and holding tax</w:t>
      </w:r>
      <w:r>
        <w:rPr>
          <w:sz w:val="24"/>
        </w:rPr>
        <w:tab/>
      </w:r>
      <w:r>
        <w:rPr>
          <w:sz w:val="24"/>
        </w:rPr>
        <w:tab/>
      </w:r>
    </w:p>
    <w:p>
      <w:pPr>
        <w:pStyle w:val=""/>
        <w:rPr>
          <w:sz w:val="24"/>
        </w:rPr>
      </w:pPr>
    </w:p>
    <w:p>
      <w:pPr>
        <w:pStyle w:val=""/>
      </w:pPr>
      <w:r>
        <w:rPr>
          <w:sz w:val="24"/>
        </w:rPr>
        <w:t>6.</w:t>
      </w:r>
      <w:r>
        <w:rPr>
          <w:sz w:val="24"/>
        </w:rPr>
        <w:t xml:space="preserve"> </w:t>
      </w:r>
      <w:r>
        <w:rPr>
          <w:sz w:val="24"/>
        </w:rPr>
        <w:t>Other 1,288.80 190.80</w:t>
      </w:r>
    </w:p>
    <w:p>
      <w:pPr>
        <w:pStyle w:val=""/>
        <w:rPr>
          <w:sz w:val="24"/>
        </w:rPr>
      </w:pPr>
    </w:p>
    <w:p>
      <w:pPr>
        <w:pStyle w:val=""/>
      </w:pPr>
      <w:r>
        <w:rPr>
          <w:sz w:val="24"/>
        </w:rPr>
        <w:t>Total 60,281.34 7,190.80</w:t>
      </w:r>
    </w:p>
    <w:p>
      <w:pPr>
        <w:pStyle w:val=""/>
        <w:rPr>
          <w:sz w:val="24"/>
        </w:rPr>
      </w:pPr>
    </w:p>
    <w:p>
      <w:pPr>
        <w:pStyle w:val=""/>
      </w:pPr>
      <w:r>
        <w:rPr>
          <w:color w:val="000000"/>
          <w:sz w:val="24"/>
        </w:rPr>
        <w:t>6. Explanation of the number and changes of the members and staff of the board of directors and the remuneration received</w:t>
      </w:r>
    </w:p>
    <w:p>
      <w:pPr>
        <w:pStyle w:val=""/>
      </w:pPr>
      <w:r>
        <w:rPr>
          <w:color w:val="FF0000"/>
          <w:sz w:val="24"/>
        </w:rPr>
        <w:t xml:space="preserve"> </w:t>
      </w:r>
      <w:r>
        <w:rPr>
          <w:color w:val="333333"/>
          <w:sz w:val="24"/>
        </w:rPr>
        <w:t xml:space="preserve"> </w:t>
      </w:r>
      <w:r>
        <w:rPr>
          <w:color w:val="333333"/>
          <w:sz w:val="24"/>
        </w:rPr>
        <w:t>1. List the names of the members of the current board of directors, the work unit, the number of directors who receive remuneration from the representative office in Guangxi, and the amount of remuneration received.</w:t>
      </w:r>
    </w:p>
    <w:p>
      <w:pPr>
        <w:pStyle w:val=""/>
        <w:rPr>
          <w:color w:val="333333"/>
        </w:rPr>
      </w:pPr>
      <w:r>
        <w:rPr>
          <w:color w:val="333333"/>
          <w:sz w:val="24"/>
        </w:rPr>
        <w:t>Board members: Betty Cutts</w:t>
      </w:r>
      <w:r>
        <w:rPr>
          <w:color w:val="333333"/>
          <w:sz w:val="24"/>
        </w:rPr>
        <w:t xml:space="preserve"> (</w:t>
      </w:r>
      <w:r>
        <w:rPr>
          <w:color w:val="333333"/>
          <w:sz w:val="24"/>
        </w:rPr>
        <w:t>Chairman), Eric Zhang (Vice</w:t>
      </w:r>
      <w:r>
        <w:rPr>
          <w:color w:val="333333"/>
          <w:sz w:val="24"/>
        </w:rPr>
        <w:t xml:space="preserve"> Chairman), Mai Xiaomin (Financial Accounting), Jes</w:t>
      </w:r>
      <w:r>
        <w:rPr>
          <w:color w:val="333333"/>
          <w:sz w:val="24"/>
        </w:rPr>
        <w:t>sica Mansfield (Secretary), Jill</w:t>
      </w:r>
      <w:r>
        <w:rPr>
          <w:color w:val="333333"/>
          <w:sz w:val="24"/>
        </w:rPr>
        <w:t xml:space="preserve"> Hill (Board Member) ), Liu Jiefeng (board member and general represe</w:t>
      </w:r>
      <w:r>
        <w:rPr>
          <w:color w:val="333333"/>
          <w:sz w:val="24"/>
        </w:rPr>
        <w:t>ntative of China), Doris Wells</w:t>
      </w:r>
      <w:r>
        <w:rPr>
          <w:color w:val="333333"/>
          <w:sz w:val="24"/>
        </w:rPr>
        <w:t xml:space="preserve"> (board member). These board members are retirees or freelancers, and no board member receives work compensation.</w:t>
      </w:r>
    </w:p>
    <w:p>
      <w:pPr>
        <w:pStyle w:val=""/>
        <w:rPr>
          <w:color w:val="333333"/>
        </w:rPr>
      </w:pPr>
      <w:r>
        <w:rPr>
          <w:color w:val="333333"/>
          <w:sz w:val="24"/>
        </w:rPr>
        <w:t>    2. List the total number of employees in Guangxi representative office (excluding the number of laborers), the number of employees in each department, the total salary, and the per capita salary (excluding the labor costs paid)</w:t>
      </w:r>
    </w:p>
    <w:p>
      <w:pPr>
        <w:pStyle w:val=""/>
        <w:rPr>
          <w:color w:val="333333"/>
        </w:rPr>
      </w:pPr>
      <w:r>
        <w:rPr>
          <w:color w:val="333333"/>
          <w:sz w:val="24"/>
        </w:rPr>
        <w:t xml:space="preserve">Since the May 1st, 2018, the Guangxi Representative Office has officially hired a full-time staff member, mainly dealing with matters related to the Guangxi representative office. The salary of the full-time staff is 4,700 yuan per month, the salary for the probation period is 4,000 yuan, and the probation period is three months. The Guangxi Representative Office has two other volunteers who pay for working hours, one that helps </w:t>
      </w:r>
      <w:r>
        <w:rPr>
          <w:color w:val="333333"/>
          <w:sz w:val="24"/>
        </w:rPr>
        <w:t>enter computer data</w:t>
      </w:r>
      <w:r>
        <w:rPr>
          <w:color w:val="333333"/>
          <w:sz w:val="24"/>
        </w:rPr>
        <w:t xml:space="preserve"> and update</w:t>
      </w:r>
      <w:r>
        <w:rPr>
          <w:color w:val="333333"/>
          <w:sz w:val="24"/>
        </w:rPr>
        <w:t>s</w:t>
      </w:r>
      <w:r>
        <w:rPr>
          <w:color w:val="333333"/>
          <w:sz w:val="24"/>
        </w:rPr>
        <w:t xml:space="preserve"> the students, and the hourly salary is 12 yuan. One is responsible for bank transfer and distribution of scholarships. Volunteers who collect student materials, translations, etc., pay 1,000 yuan per month. These two volunteers are not fixed-employed staff, but volunteers who pay for work hours. Other school teachers who are responsible for issuing grants and giving</w:t>
      </w:r>
      <w:r>
        <w:rPr>
          <w:color w:val="333333"/>
          <w:sz w:val="24"/>
        </w:rPr>
        <w:t xml:space="preserve"> feedback to the students of Blessing Hands</w:t>
      </w:r>
      <w:r>
        <w:rPr>
          <w:color w:val="333333"/>
          <w:sz w:val="24"/>
        </w:rPr>
        <w:t xml:space="preserve"> are volunteers and </w:t>
      </w:r>
      <w:r>
        <w:rPr>
          <w:color w:val="333333"/>
          <w:sz w:val="24"/>
        </w:rPr>
        <w:t>do not receive salary</w:t>
      </w:r>
      <w:r>
        <w:rPr>
          <w:color w:val="333333"/>
          <w:sz w:val="24"/>
        </w:rPr>
        <w:t>.</w:t>
      </w:r>
    </w:p>
    <w:p>
      <w:pPr>
        <w:pStyle w:val=""/>
      </w:pPr>
      <w:r>
        <w:rPr>
          <w:color w:val="333333"/>
          <w:sz w:val="24"/>
        </w:rPr>
        <w:t>7. Matters that need to be sp</w:t>
      </w:r>
      <w:r>
        <w:rPr>
          <w:sz w:val="24"/>
        </w:rPr>
        <w:t>ecified when calculating the proportion of public welfare expenditures, staff wages and benefits, and administrative office expenditures</w:t>
      </w:r>
    </w:p>
    <w:p>
      <w:pPr>
        <w:pStyle w:val=""/>
        <w:rPr>
          <w:sz w:val="24"/>
        </w:rPr>
      </w:pPr>
      <w:r>
        <w:rPr>
          <w:sz w:val="24"/>
        </w:rPr>
        <w:t>Things to note when calculating the proportion of p</w:t>
      </w:r>
      <w:r>
        <w:rPr>
          <w:sz w:val="24"/>
        </w:rPr>
        <w:t>ublic welfare expenditures: None</w:t>
      </w:r>
    </w:p>
    <w:p>
      <w:pPr>
        <w:pStyle w:val=""/>
      </w:pPr>
      <w:r>
        <w:rPr>
          <w:sz w:val="24"/>
        </w:rPr>
        <w:t>T</w:t>
      </w:r>
      <w:r>
        <w:rPr>
          <w:sz w:val="24"/>
        </w:rPr>
        <w:t>hings to note when calculating the salary and benefits of staff and a</w:t>
      </w:r>
      <w:r>
        <w:rPr>
          <w:sz w:val="24"/>
        </w:rPr>
        <w:t>dministrative office expenses: N</w:t>
      </w:r>
      <w:r>
        <w:rPr>
          <w:sz w:val="24"/>
        </w:rPr>
        <w:t>one</w:t>
      </w:r>
    </w:p>
    <w:p>
      <w:pPr>
        <w:pStyle w:val=""/>
        <w:rPr>
          <w:sz w:val="24"/>
        </w:rPr>
      </w:pPr>
    </w:p>
    <w:p>
      <w:pPr>
        <w:pStyle w:val=""/>
      </w:pPr>
      <w:r>
        <w:rPr>
          <w:sz w:val="24"/>
        </w:rPr>
        <w:t>8. M</w:t>
      </w:r>
      <w:r>
        <w:rPr>
          <w:sz w:val="24"/>
        </w:rPr>
        <w:t>ajor public welfare projects</w:t>
      </w:r>
    </w:p>
    <w:p>
      <w:pPr>
        <w:pStyle w:val=""/>
      </w:pPr>
      <w:r>
        <w:rPr>
          <w:sz w:val="24"/>
        </w:rPr>
        <w:t>Large-scale payment for major public welfare projects</w:t>
      </w:r>
    </w:p>
    <w:p>
      <w:pPr>
        <w:pStyle w:val=""/>
      </w:pPr>
      <w:r>
        <w:rPr>
          <w:sz w:val="24"/>
        </w:rPr>
        <w:t>Project name</w:t>
      </w:r>
      <w:r>
        <w:rPr>
          <w:sz w:val="24"/>
        </w:rPr>
        <w:t>,</w:t>
      </w:r>
      <w:r>
        <w:rPr>
          <w:sz w:val="24"/>
        </w:rPr>
        <w:t xml:space="preserve"> Large-value payment object</w:t>
      </w:r>
      <w:r>
        <w:rPr>
          <w:sz w:val="24"/>
        </w:rPr>
        <w:t>,</w:t>
      </w:r>
      <w:r>
        <w:rPr>
          <w:sz w:val="24"/>
        </w:rPr>
        <w:t xml:space="preserve"> Payment amount</w:t>
      </w:r>
      <w:r>
        <w:rPr>
          <w:sz w:val="24"/>
        </w:rPr>
        <w:t>,</w:t>
      </w:r>
      <w:r>
        <w:rPr>
          <w:sz w:val="24"/>
        </w:rPr>
        <w:t xml:space="preserve"> Percentage of total annual public welfare expenditure</w:t>
      </w:r>
    </w:p>
    <w:p>
      <w:pPr>
        <w:pStyle w:val=""/>
      </w:pPr>
      <w:r>
        <w:rPr>
          <w:sz w:val="24"/>
        </w:rPr>
        <w:t>160 Qinzhou students from 11 schools in the Qinzhou project of Guangxi Zhuang Autonomous Region</w:t>
      </w:r>
      <w:r>
        <w:rPr>
          <w:sz w:val="24"/>
        </w:rPr>
        <w:t>,</w:t>
      </w:r>
      <w:r>
        <w:rPr>
          <w:sz w:val="24"/>
        </w:rPr>
        <w:t xml:space="preserve"> 218, 572. 30 yuan</w:t>
      </w:r>
      <w:r>
        <w:rPr>
          <w:sz w:val="24"/>
        </w:rPr>
        <w:t>,</w:t>
      </w:r>
      <w:r>
        <w:rPr>
          <w:sz w:val="24"/>
        </w:rPr>
        <w:t xml:space="preserve"> 27.63% Education Funding</w:t>
      </w:r>
    </w:p>
    <w:p>
      <w:pPr>
        <w:pStyle w:val=""/>
      </w:pPr>
      <w:r>
        <w:rPr>
          <w:sz w:val="24"/>
        </w:rPr>
        <w:t>Guangxi University Student Funding Project 34 university students in Guangxi Province</w:t>
      </w:r>
      <w:r>
        <w:rPr>
          <w:sz w:val="24"/>
        </w:rPr>
        <w:t>,</w:t>
      </w:r>
      <w:r>
        <w:rPr>
          <w:sz w:val="24"/>
        </w:rPr>
        <w:t xml:space="preserve"> 141, 551. 80 yuan</w:t>
      </w:r>
      <w:r>
        <w:rPr>
          <w:sz w:val="24"/>
        </w:rPr>
        <w:t>,</w:t>
      </w:r>
      <w:r>
        <w:rPr>
          <w:sz w:val="24"/>
        </w:rPr>
        <w:t xml:space="preserve"> 17.90% Education Funding</w:t>
      </w:r>
    </w:p>
    <w:p>
      <w:pPr>
        <w:pStyle w:val=""/>
        <w:rPr>
          <w:sz w:val="24"/>
        </w:rPr>
      </w:pPr>
    </w:p>
    <w:p>
      <w:pPr>
        <w:pStyle w:val=""/>
      </w:pPr>
      <w:r>
        <w:rPr>
          <w:sz w:val="24"/>
        </w:rPr>
        <w:t>Total 360,124.10 yuan</w:t>
      </w:r>
      <w:r>
        <w:rPr>
          <w:sz w:val="24"/>
        </w:rPr>
        <w:t>,</w:t>
      </w:r>
      <w:r>
        <w:rPr>
          <w:sz w:val="24"/>
        </w:rPr>
        <w:t xml:space="preserve"> 45.53%</w:t>
      </w:r>
    </w:p>
    <w:p>
      <w:pPr>
        <w:pStyle w:val=""/>
        <w:rPr>
          <w:sz w:val="24"/>
        </w:rPr>
      </w:pPr>
    </w:p>
    <w:p>
      <w:pPr>
        <w:pStyle w:val=""/>
        <w:rPr>
          <w:sz w:val="24"/>
        </w:rPr>
      </w:pPr>
      <w:r>
        <w:rPr>
          <w:sz w:val="24"/>
        </w:rPr>
        <w:t>10</w:t>
      </w:r>
      <w:r>
        <w:rPr>
          <w:sz w:val="24"/>
        </w:rPr>
        <w:t>. Description of related party relationships and their transactions</w:t>
      </w:r>
      <w:r>
        <w:rPr>
          <w:sz w:val="24"/>
        </w:rPr>
        <w:t>:</w:t>
      </w:r>
    </w:p>
    <w:p>
      <w:pPr>
        <w:pStyle w:val=""/>
      </w:pPr>
      <w:r>
        <w:rPr>
          <w:sz w:val="24"/>
        </w:rPr>
        <w:t>The Guangxi representative office has no related party relationship.</w:t>
      </w:r>
    </w:p>
    <w:p>
      <w:pPr>
        <w:pStyle w:val=""/>
      </w:pPr>
      <w:r>
        <w:rPr>
          <w:sz w:val="24"/>
        </w:rPr>
        <w:t>11</w:t>
      </w:r>
      <w:r>
        <w:rPr>
          <w:sz w:val="24"/>
        </w:rPr>
        <w:t>. Explanation of the relevant assets of the asset provider with time or use restrictions</w:t>
      </w:r>
      <w:r>
        <w:rPr>
          <w:sz w:val="24"/>
        </w:rPr>
        <w:t xml:space="preserve">: </w:t>
      </w:r>
      <w:r>
        <w:rPr>
          <w:sz w:val="24"/>
        </w:rPr>
        <w:t>The Guangxi representative office has no assets provider to set up related assets with time or use restrictions.</w:t>
      </w:r>
    </w:p>
    <w:p>
      <w:pPr>
        <w:pStyle w:val=""/>
      </w:pPr>
      <w:r>
        <w:rPr>
          <w:sz w:val="24"/>
        </w:rPr>
        <w:t>12</w:t>
      </w:r>
      <w:r>
        <w:rPr>
          <w:sz w:val="24"/>
        </w:rPr>
        <w:t>. Explanation of the business of the entrusted agent</w:t>
      </w:r>
      <w:r>
        <w:rPr>
          <w:sz w:val="24"/>
        </w:rPr>
        <w:t xml:space="preserve">: </w:t>
      </w:r>
      <w:r>
        <w:rPr>
          <w:sz w:val="24"/>
        </w:rPr>
        <w:t>The Guangxi representative office has no entrusted agency business.</w:t>
      </w:r>
    </w:p>
    <w:p>
      <w:pPr>
        <w:pStyle w:val=""/>
      </w:pPr>
      <w:r>
        <w:rPr>
          <w:sz w:val="24"/>
        </w:rPr>
        <w:t>13</w:t>
      </w:r>
      <w:r>
        <w:rPr>
          <w:sz w:val="24"/>
        </w:rPr>
        <w:t>. Explanation of major asset impairment</w:t>
      </w:r>
      <w:r>
        <w:rPr>
          <w:sz w:val="24"/>
        </w:rPr>
        <w:t xml:space="preserve">: </w:t>
      </w:r>
      <w:r>
        <w:rPr>
          <w:sz w:val="24"/>
        </w:rPr>
        <w:t>There is no significant asset impairment in the Guangxi representative office.</w:t>
      </w:r>
    </w:p>
    <w:p>
      <w:pPr>
        <w:pStyle w:val=""/>
      </w:pPr>
      <w:r>
        <w:rPr>
          <w:sz w:val="24"/>
        </w:rPr>
        <w:t>14. Description of the donated assets and other assets that cannot be reliably obtained by fair value</w:t>
      </w:r>
      <w:r>
        <w:rPr>
          <w:sz w:val="24"/>
        </w:rPr>
        <w:t xml:space="preserve">: </w:t>
      </w:r>
      <w:r>
        <w:rPr>
          <w:sz w:val="24"/>
        </w:rPr>
        <w:t>The representative office of Guangxi has no fair value and cannot reliably obtain the gifted assets and other assets.</w:t>
      </w:r>
    </w:p>
    <w:p>
      <w:pPr>
        <w:pStyle w:val=""/>
      </w:pPr>
      <w:r>
        <w:rPr>
          <w:sz w:val="24"/>
        </w:rPr>
        <w:t>15. T</w:t>
      </w:r>
      <w:r>
        <w:rPr>
          <w:sz w:val="24"/>
        </w:rPr>
        <w:t>he instructions for accepting labor donations</w:t>
      </w:r>
      <w:r>
        <w:rPr>
          <w:sz w:val="24"/>
        </w:rPr>
        <w:t xml:space="preserve">: </w:t>
      </w:r>
      <w:r>
        <w:rPr>
          <w:sz w:val="24"/>
        </w:rPr>
        <w:t>The Guangxi representative office did not accept labor donations.</w:t>
      </w:r>
    </w:p>
    <w:p>
      <w:pPr>
        <w:pStyle w:val=""/>
      </w:pPr>
      <w:r>
        <w:rPr>
          <w:sz w:val="24"/>
        </w:rPr>
        <w:t>16</w:t>
      </w:r>
      <w:r>
        <w:rPr>
          <w:sz w:val="24"/>
        </w:rPr>
        <w:t>. Explanation of external commitments and contingent events</w:t>
      </w:r>
      <w:r>
        <w:rPr>
          <w:sz w:val="24"/>
        </w:rPr>
        <w:t xml:space="preserve">: </w:t>
      </w:r>
      <w:r>
        <w:rPr>
          <w:sz w:val="24"/>
        </w:rPr>
        <w:t>The Guangxi representative office has no external commitments and contingent issues.</w:t>
      </w:r>
    </w:p>
    <w:p>
      <w:pPr>
        <w:pStyle w:val=""/>
      </w:pPr>
      <w:r>
        <w:rPr>
          <w:sz w:val="24"/>
        </w:rPr>
        <w:t>17. Explanation of non-adjusting events after the balance sheet date</w:t>
      </w:r>
      <w:r>
        <w:rPr>
          <w:sz w:val="24"/>
        </w:rPr>
        <w:t xml:space="preserve">: </w:t>
      </w:r>
      <w:r>
        <w:rPr>
          <w:sz w:val="24"/>
        </w:rPr>
        <w:t>The Guangxi representative office has no non-adjusting events after the balance sheet date.</w:t>
      </w:r>
    </w:p>
    <w:p>
      <w:pPr>
        <w:pStyle w:val=""/>
      </w:pPr>
      <w:r>
        <w:rPr>
          <w:sz w:val="24"/>
        </w:rPr>
        <w:t>18. Other matters that need to be explained</w:t>
      </w:r>
      <w:r>
        <w:rPr>
          <w:sz w:val="24"/>
        </w:rPr>
        <w:t xml:space="preserve">: </w:t>
      </w:r>
      <w:r>
        <w:rPr>
          <w:sz w:val="24"/>
        </w:rPr>
        <w:t xml:space="preserve">The above-mentioned notes on the annual financial statements and accounting statements for the year of 2017 are prepared in accordance </w:t>
      </w:r>
      <w:r>
        <w:rPr>
          <w:sz w:val="24"/>
        </w:rPr>
        <w:t>to</w:t>
      </w:r>
      <w:r>
        <w:rPr>
          <w:sz w:val="24"/>
        </w:rPr>
        <w:t>with</w:t>
      </w:r>
      <w:r>
        <w:rPr>
          <w:sz w:val="24"/>
        </w:rPr>
        <w:t xml:space="preserve"> the "Public Non-Profit Organization Accounting System".</w:t>
      </w:r>
    </w:p>
    <w:p>
      <w:pPr>
        <w:pStyle w:val=""/>
        <w:rPr>
          <w:sz w:val="24"/>
        </w:rPr>
      </w:pPr>
    </w:p>
    <w:p>
      <w:pPr>
        <w:pStyle w:val=""/>
        <w:rPr>
          <w:sz w:val="24"/>
        </w:rPr>
      </w:pPr>
    </w:p>
    <w:p>
      <w:pPr>
        <w:pStyle w:val=""/>
      </w:pPr>
      <w:r>
        <w:rPr>
          <w:sz w:val="24"/>
        </w:rPr>
        <w:t>Name: American blessing hand Guangxi representative office (seal)</w:t>
      </w:r>
    </w:p>
    <w:p>
      <w:pPr>
        <w:pStyle w:val=""/>
        <w:rPr>
          <w:sz w:val="24"/>
        </w:rPr>
      </w:pPr>
    </w:p>
    <w:p>
      <w:pPr>
        <w:pStyle w:val=""/>
      </w:pPr>
      <w:r>
        <w:rPr>
          <w:sz w:val="24"/>
        </w:rPr>
        <w:t>Chief Representative: (Signature) Chief Financial Officer: (Signature)</w:t>
      </w:r>
    </w:p>
    <w:p>
      <w:pPr>
        <w:pStyle w:val=""/>
        <w:rPr>
          <w:sz w:val="24"/>
        </w:rPr>
      </w:pPr>
    </w:p>
    <w:p>
      <w:pPr>
        <w:pStyle w:val=""/>
      </w:pPr>
      <w:r>
        <w:rPr>
          <w:sz w:val="24"/>
        </w:rPr>
        <w:t>Date: 20 years Month Day Date: 20 years Month Day</w:t>
      </w:r>
    </w:p>
    <w:p>
      <w:pPr>
        <w:pStyle w:val=""/>
      </w:pPr>
      <w:r>
        <w:rPr>
          <w:sz w:val="24"/>
        </w:rPr>
        <w:t> </w:t>
      </w:r>
    </w:p>
    <w:p>
      <w:pPr>
        <w:pStyle w:val=""/>
        <w:rPr>
          <w:b/>
          <w:sz w:val="24"/>
        </w:rPr>
      </w:pPr>
    </w:p>
    <w:p>
      <w:pPr>
        <w:pStyle w:val=""/>
        <w:jc w:val="center"/>
      </w:pPr>
      <w:r>
        <w:rPr>
          <w:b/>
          <w:rFonts w:ascii="SimSun" w:hAnsi="SimSun"/>
          <w:sz w:val="24"/>
        </w:rPr>
        <w:t>美国祝福之手广西代表处</w:t>
      </w:r>
    </w:p>
    <w:p>
      <w:pPr>
        <w:pStyle w:val=""/>
        <w:jc w:val="center"/>
        <w:rPr>
          <w:b/>
          <w:rFonts w:ascii="SimSun" w:hAnsi="SimSun"/>
          <w:sz w:val="24"/>
        </w:rPr>
      </w:pPr>
      <w:r>
        <w:rPr>
          <w:b/>
          <w:rFonts w:ascii="SimSun" w:hAnsi="SimSun"/>
          <w:sz w:val="24"/>
        </w:rPr>
        <w:t>2018年度</w:t>
      </w:r>
    </w:p>
    <w:p>
      <w:pPr>
        <w:pStyle w:val=""/>
        <w:jc w:val="center"/>
        <w:rPr>
          <w:b/>
          <w:sz w:val="24"/>
        </w:rPr>
      </w:pPr>
      <w:r>
        <w:rPr>
          <w:b/>
          <w:rFonts w:ascii="Century Schoolbook" w:hAnsi="Century Schoolbook"/>
          <w:sz w:val="24"/>
        </w:rPr>
        <w:t>审</w:t>
      </w:r>
      <w:r>
        <w:rPr>
          <w:b/>
          <w:rFonts w:ascii="Century Schoolbook" w:hAnsi="Century Schoolbook"/>
          <w:sz w:val="24"/>
        </w:rPr>
        <w:t xml:space="preserve"> </w:t>
      </w:r>
      <w:r>
        <w:rPr>
          <w:b/>
          <w:rFonts w:ascii="Century Schoolbook" w:hAnsi="Century Schoolbook"/>
          <w:sz w:val="24"/>
        </w:rPr>
        <w:t>计</w:t>
      </w:r>
      <w:r>
        <w:rPr>
          <w:b/>
          <w:rFonts w:ascii="Century Schoolbook" w:hAnsi="Century Schoolbook"/>
          <w:sz w:val="24"/>
        </w:rPr>
        <w:t xml:space="preserve"> </w:t>
      </w:r>
      <w:r>
        <w:rPr>
          <w:b/>
          <w:rFonts w:ascii="Century Schoolbook" w:hAnsi="Century Schoolbook"/>
          <w:sz w:val="24"/>
        </w:rPr>
        <w:t>报</w:t>
      </w:r>
      <w:r>
        <w:rPr>
          <w:b/>
          <w:rFonts w:ascii="Century Schoolbook" w:hAnsi="Century Schoolbook"/>
          <w:sz w:val="24"/>
        </w:rPr>
        <w:t xml:space="preserve"> </w:t>
      </w:r>
      <w:r>
        <w:rPr>
          <w:b/>
          <w:rFonts w:ascii="Century Schoolbook" w:hAnsi="Century Schoolbook"/>
          <w:sz w:val="24"/>
        </w:rPr>
        <w:t>告</w:t>
      </w:r>
    </w:p>
    <w:p>
      <w:pPr>
        <w:pStyle w:val=""/>
        <w:rPr>
          <w:b/>
          <w:sz w:val="24"/>
        </w:rPr>
      </w:pPr>
    </w:p>
    <w:p>
      <w:pPr>
        <w:pStyle w:val=""/>
        <w:rPr>
          <w:b/>
          <w:u w:val="single"/>
          <w:sz w:val="24"/>
        </w:rPr>
      </w:pPr>
    </w:p>
    <w:p>
      <w:pPr>
        <w:pStyle w:val=""/>
        <w:rPr>
          <w:b/>
          <w:u w:val="single"/>
          <w:sz w:val="24"/>
        </w:rPr>
      </w:pPr>
    </w:p>
    <w:p>
      <w:pPr>
        <w:pStyle w:val=""/>
        <w:jc w:val="center"/>
        <w:rPr>
          <w:b/>
          <w:u w:val="single"/>
          <w:sz w:val="24"/>
        </w:rPr>
      </w:pPr>
      <w:r>
        <w:rPr>
          <w:b/>
          <w:u w:val="single"/>
          <w:sz w:val="24"/>
        </w:rPr>
        <w:t>目</w:t>
      </w:r>
      <w:r>
        <w:rPr>
          <w:b/>
          <w:u w:val="single"/>
          <w:sz w:val="24"/>
        </w:rPr>
        <w:t xml:space="preserve">   </w:t>
      </w:r>
      <w:r>
        <w:rPr>
          <w:b/>
          <w:u w:val="single"/>
          <w:sz w:val="24"/>
        </w:rPr>
        <w:t>录</w:t>
      </w:r>
    </w:p>
    <w:p>
      <w:pPr>
        <w:pStyle w:val=""/>
      </w:pPr>
      <w:r>
        <w:rPr>
          <w:b/>
          <w:rFonts w:ascii="SimSun"/>
          <w:sz w:val="24"/>
        </w:rPr>
        <w:tab/>
      </w:r>
    </w:p>
    <w:tbl>
      <w:tblPr>
        <w:jc w:val="center"/>
        <w:tblStyle w:val="普通表格"/>
        <w:tblLook w:val="1E0"/>
        <w:tblW w:w="0" w:type="auto"/>
      </w:tblPr>
      <w:tblGrid>
        <w:gridCol w:w="5197"/>
        <w:gridCol w:w="915"/>
      </w:tblGrid>
      <w:tr>
        <w:tc>
          <w:tcPr>
            <w:vAlign w:val="top"/>
            <w:tcW w:w="5197" w:type="dxa"/>
          </w:tcPr>
          <w:p>
            <w:pPr>
              <w:pStyle w:val=""/>
            </w:pPr>
          </w:p>
        </w:tc>
        <w:tc>
          <w:tcPr>
            <w:vAlign w:val="top"/>
            <w:tcW w:w="915" w:type="dxa"/>
          </w:tcPr>
          <w:p>
            <w:pPr>
              <w:pStyle w:val=""/>
            </w:pPr>
          </w:p>
        </w:tc>
      </w:tr>
      <w:tr>
        <w:tc>
          <w:tcPr>
            <w:vAlign w:val="top"/>
            <w:tcW w:w="5197" w:type="dxa"/>
          </w:tcPr>
          <w:p>
            <w:pPr>
              <w:pStyle w:val=""/>
            </w:pPr>
            <w:hyperlink>
              <w:r>
                <w:rPr>
                  <w:rStyle w:val=""/>
                  <w:color w:val="000000"/>
                  <w:rFonts w:ascii="SimSun"/>
                  <w:sz w:val="24"/>
                </w:rPr>
                <w:t>一、审计报告</w:t>
              </w:r>
            </w:hyperlink>
          </w:p>
        </w:tc>
        <w:tc>
          <w:tcPr>
            <w:vAlign w:val="top"/>
            <w:tcW w:w="915" w:type="dxa"/>
          </w:tcPr>
          <w:p>
            <w:pPr>
              <w:pStyle w:val=""/>
            </w:pPr>
          </w:p>
        </w:tc>
      </w:tr>
      <w:tr>
        <w:tc>
          <w:tcPr>
            <w:vAlign w:val="top"/>
            <w:tcW w:w="5197" w:type="dxa"/>
          </w:tcPr>
          <w:p>
            <w:pPr>
              <w:pStyle w:val=""/>
            </w:pPr>
            <w:hyperlink>
              <w:r>
                <w:rPr>
                  <w:rStyle w:val=""/>
                  <w:color w:val="000000"/>
                  <w:rFonts w:ascii="SimSun"/>
                  <w:sz w:val="24"/>
                </w:rPr>
                <w:t>二、基金会财务相关情况表</w:t>
              </w:r>
            </w:hyperlink>
          </w:p>
        </w:tc>
        <w:tc>
          <w:tcPr>
            <w:vAlign w:val="top"/>
            <w:tcW w:w="915" w:type="dxa"/>
          </w:tcPr>
          <w:p>
            <w:pPr>
              <w:pStyle w:val=""/>
            </w:pPr>
          </w:p>
        </w:tc>
      </w:tr>
      <w:tr>
        <w:tc>
          <w:tcPr>
            <w:vAlign w:val="top"/>
            <w:tcW w:w="5197" w:type="dxa"/>
          </w:tcPr>
          <w:p>
            <w:pPr>
              <w:pStyle w:val=""/>
            </w:pPr>
            <w:hyperlink>
              <w:r>
                <w:rPr>
                  <w:rStyle w:val=""/>
                  <w:color w:val="000000"/>
                  <w:rFonts w:ascii="SimSun"/>
                  <w:sz w:val="24"/>
                </w:rPr>
                <w:t>三、资产负债表</w:t>
              </w:r>
            </w:hyperlink>
          </w:p>
        </w:tc>
        <w:tc>
          <w:tcPr>
            <w:vAlign w:val="top"/>
            <w:tcW w:w="915" w:type="dxa"/>
          </w:tcPr>
          <w:p>
            <w:pPr>
              <w:pStyle w:val=""/>
            </w:pPr>
          </w:p>
        </w:tc>
      </w:tr>
      <w:tr>
        <w:tc>
          <w:tcPr>
            <w:vAlign w:val="top"/>
            <w:tcW w:w="5197" w:type="dxa"/>
          </w:tcPr>
          <w:p>
            <w:pPr>
              <w:pStyle w:val=""/>
            </w:pPr>
            <w:hyperlink>
              <w:r>
                <w:rPr>
                  <w:rStyle w:val=""/>
                  <w:color w:val="000000"/>
                  <w:rFonts w:ascii="SimSun"/>
                  <w:sz w:val="24"/>
                </w:rPr>
                <w:t>四、业务活动表</w:t>
              </w:r>
            </w:hyperlink>
          </w:p>
        </w:tc>
        <w:tc>
          <w:tcPr>
            <w:vAlign w:val="top"/>
            <w:tcW w:w="915" w:type="dxa"/>
          </w:tcPr>
          <w:p>
            <w:pPr>
              <w:pStyle w:val=""/>
            </w:pPr>
          </w:p>
        </w:tc>
      </w:tr>
      <w:tr>
        <w:tc>
          <w:tcPr>
            <w:vAlign w:val="top"/>
            <w:tcW w:w="5197" w:type="dxa"/>
          </w:tcPr>
          <w:p>
            <w:pPr>
              <w:pStyle w:val=""/>
            </w:pPr>
            <w:hyperlink>
              <w:r>
                <w:rPr>
                  <w:rStyle w:val=""/>
                  <w:color w:val="000000"/>
                  <w:rFonts w:ascii="SimSun"/>
                  <w:sz w:val="24"/>
                </w:rPr>
                <w:t>五、现金流量表</w:t>
              </w:r>
            </w:hyperlink>
          </w:p>
        </w:tc>
        <w:tc>
          <w:tcPr>
            <w:vAlign w:val="top"/>
            <w:tcW w:w="915" w:type="dxa"/>
          </w:tcPr>
          <w:p>
            <w:pPr>
              <w:pStyle w:val=""/>
            </w:pPr>
          </w:p>
        </w:tc>
      </w:tr>
      <w:tr>
        <w:tc>
          <w:tcPr>
            <w:vAlign w:val="top"/>
            <w:tcW w:w="5197" w:type="dxa"/>
          </w:tcPr>
          <w:p>
            <w:pPr>
              <w:pStyle w:val=""/>
            </w:pPr>
            <w:r>
              <w:rPr>
                <w:rStyle w:val=""/>
                <w:color w:val="000000"/>
                <w:rFonts w:ascii="SimSun"/>
                <w:sz w:val="24"/>
              </w:rPr>
              <w:t>六、捐助项目明细表</w:t>
            </w:r>
          </w:p>
        </w:tc>
        <w:tc>
          <w:tcPr>
            <w:vAlign w:val="top"/>
            <w:tcW w:w="915" w:type="dxa"/>
          </w:tcPr>
          <w:p>
            <w:pPr>
              <w:pStyle w:val=""/>
            </w:pPr>
          </w:p>
        </w:tc>
      </w:tr>
      <w:tr>
        <w:tc>
          <w:tcPr>
            <w:vAlign w:val="top"/>
            <w:tcW w:w="5197" w:type="dxa"/>
          </w:tcPr>
          <w:p>
            <w:pPr>
              <w:pStyle w:val=""/>
            </w:pPr>
            <w:hyperlink>
              <w:r>
                <w:rPr>
                  <w:u w:val="single"/>
                  <w:rFonts w:ascii="SimSun"/>
                  <w:sz w:val="24"/>
                </w:rPr>
                <w:t>七</w:t>
              </w:r>
              <w:r>
                <w:rPr>
                  <w:rStyle w:val=""/>
                  <w:color w:val="000000"/>
                  <w:rFonts w:ascii="SimSun"/>
                  <w:sz w:val="24"/>
                </w:rPr>
                <w:t>、财务报表附注</w:t>
              </w:r>
            </w:hyperlink>
          </w:p>
        </w:tc>
        <w:tc>
          <w:tcPr>
            <w:vAlign w:val="top"/>
            <w:tcW w:w="915" w:type="dxa"/>
          </w:tcPr>
          <w:p>
            <w:pPr>
              <w:pStyle w:val=""/>
            </w:pPr>
          </w:p>
        </w:tc>
      </w:tr>
      <w:tr>
        <w:tc>
          <w:tcPr>
            <w:vAlign w:val="top"/>
            <w:tcW w:w="5197" w:type="dxa"/>
          </w:tcPr>
          <w:p>
            <w:pPr>
              <w:pStyle w:val=""/>
            </w:pPr>
            <w:r>
              <w:rPr>
                <w:rStyle w:val=""/>
                <w:color w:val="000000"/>
                <w:rFonts w:ascii="SimSun"/>
                <w:sz w:val="24"/>
              </w:rPr>
              <w:t>八、会计师事务所营业执照复印件</w:t>
            </w:r>
          </w:p>
        </w:tc>
        <w:tc>
          <w:tcPr>
            <w:vAlign w:val="top"/>
            <w:tcW w:w="915" w:type="dxa"/>
          </w:tcPr>
          <w:p>
            <w:pPr>
              <w:pStyle w:val=""/>
            </w:pPr>
          </w:p>
        </w:tc>
      </w:tr>
    </w:tbl>
    <w:p>
      <w:pPr>
        <w:pStyle w:val=""/>
        <w:rPr>
          <w:rFonts w:ascii="SimSun"/>
          <w:sz w:val="24"/>
        </w:rPr>
      </w:pPr>
    </w:p>
    <w:p>
      <w:pPr>
        <w:pStyle w:val=""/>
        <w:rPr>
          <w:rFonts w:ascii="SimSun"/>
          <w:sz w:val="24"/>
        </w:rPr>
      </w:pPr>
    </w:p>
    <w:p>
      <w:pPr>
        <w:pStyle w:val=""/>
        <w:rPr>
          <w:rFonts w:ascii="SimSun"/>
          <w:sz w:val="24"/>
        </w:rPr>
      </w:pPr>
    </w:p>
    <w:p>
      <w:pPr>
        <w:pStyle w:val=""/>
      </w:pPr>
      <w:r>
        <w:rPr>
          <w:rFonts w:ascii="SimSun" w:hAnsi="Century Schoolbook"/>
          <w:sz w:val="24"/>
        </w:rPr>
        <w:t xml:space="preserve">委托单位：美国祝福之手广西代表处 </w:t>
      </w:r>
    </w:p>
    <w:p>
      <w:pPr>
        <w:pStyle w:val=""/>
      </w:pPr>
      <w:r>
        <w:rPr>
          <w:rFonts w:ascii="SimSun" w:hAnsi="Century Schoolbook"/>
          <w:sz w:val="24"/>
        </w:rPr>
        <w:t>审计单位：广西天辰会计师事务所有限公司</w:t>
      </w:r>
      <w:r>
        <w:rPr>
          <w:sz w:val="24"/>
        </w:rPr>
        <w:t xml:space="preserve"> </w:t>
      </w:r>
    </w:p>
    <w:p>
      <w:pPr>
        <w:pStyle w:val=""/>
      </w:pPr>
      <w:r>
        <w:rPr>
          <w:rFonts w:ascii="SimSun" w:hAnsi="Century Schoolbook"/>
          <w:sz w:val="24"/>
        </w:rPr>
        <w:t>联系电话：0771-5783233</w:t>
      </w:r>
    </w:p>
    <w:p>
      <w:pPr>
        <w:pStyle w:val=""/>
        <w:rPr>
          <w:sz w:val="24"/>
        </w:rPr>
      </w:pPr>
      <w:r>
        <w:rPr>
          <w:rFonts w:ascii="SimSun" w:hAnsi="Century Schoolbook"/>
          <w:sz w:val="24"/>
        </w:rPr>
        <w:t>传真号码：0771-5550840</w:t>
      </w:r>
    </w:p>
    <w:p>
      <w:pPr>
        <w:pStyle w:val=""/>
        <w:rPr>
          <w:b/>
          <w:rFonts w:hAnsi="SimSun"/>
          <w:sz w:val="24"/>
        </w:rPr>
      </w:pPr>
    </w:p>
    <w:p>
      <w:pPr>
        <w:pStyle w:val=""/>
        <w:sectPr>
          <w:footerReference r:id="rId8" w:type="even"/>
          <w:footerReference r:id="rId9" w:type="default"/>
          <w:pgSz w:w="11906" w:h="16838"/>
          <w:pgMar w:left="1800" w:right="1800" w:top="1440" w:bottom="1091"/>
        </w:sectPr>
      </w:pPr>
    </w:p>
    <w:p>
      <w:pPr>
        <w:pStyle w:val=""/>
        <w:rPr>
          <w:sz w:val="24"/>
        </w:rPr>
      </w:pPr>
    </w:p>
    <w:p>
      <w:pPr>
        <w:pStyle w:val=""/>
        <w:rPr>
          <w:sz w:val="24"/>
        </w:rPr>
      </w:pPr>
    </w:p>
    <w:p>
      <w:pPr>
        <w:pStyle w:val=""/>
        <w:rPr>
          <w:sz w:val="24"/>
        </w:rPr>
      </w:pPr>
    </w:p>
    <w:p>
      <w:pPr>
        <w:pStyle w:val=""/>
        <w:rPr>
          <w:b/>
          <w:sz w:val="24"/>
        </w:rPr>
      </w:pPr>
      <w:r>
        <w:rPr>
          <w:b/>
          <w:sz w:val="24"/>
        </w:rPr>
        <w:t>桂天辰会师审字[2019]303号</w:t>
      </w:r>
    </w:p>
    <w:p>
      <w:pPr>
        <w:pStyle w:val=""/>
        <w:rPr>
          <w:rFonts w:ascii="SimSun" w:hAnsi="SimSun"/>
          <w:sz w:val="24"/>
        </w:rPr>
      </w:pPr>
      <w:r>
        <w:rPr>
          <w:sz w:val="24"/>
        </w:rPr>
        <w:t>审  计  报  告</w:t>
      </w:r>
    </w:p>
    <w:p>
      <w:pPr>
        <w:pStyle w:val=""/>
      </w:pPr>
      <w:r>
        <w:rPr>
          <w:b/>
          <w:sz w:val="24"/>
        </w:rPr>
        <w:t>美国祝福之手广西代表处：</w:t>
      </w:r>
    </w:p>
    <w:p>
      <w:pPr>
        <w:pStyle w:val=""/>
      </w:pPr>
      <w:r>
        <w:rPr>
          <w:sz w:val="24"/>
        </w:rPr>
        <w:t>我们审计了后附的美国祝福之手广西代表处财务报表，包括2018年12月31日的资产负债表、2018年度的业务活动表和现金流量表以及财务报表附注。</w:t>
      </w:r>
    </w:p>
    <w:p>
      <w:pPr>
        <w:pStyle w:val=""/>
      </w:pPr>
      <w:r>
        <w:rPr>
          <w:b/>
          <w:sz w:val="24"/>
        </w:rPr>
        <w:t>一、管理层对财务报表的责任</w:t>
      </w:r>
    </w:p>
    <w:p>
      <w:pPr>
        <w:pStyle w:val=""/>
        <w:rPr>
          <w:b/>
          <w:sz w:val="24"/>
        </w:rPr>
      </w:pPr>
      <w:r>
        <w:rPr>
          <w:sz w:val="24"/>
        </w:rPr>
        <w:t>按照《基金会管理条例》和《民间非营利组织会计制度》的规定编制财务报表是美国祝福之手广西代表处管理层的责任。这种责任包括：（1）按照《民间非营利组织会计制度》的规定编制财务报表，并使其实现公允反映；（2）设计、执行和维护必要的内部控制，以使财务报表不存在由于舞弊或错误而导致的重大错报。</w:t>
      </w:r>
    </w:p>
    <w:p>
      <w:pPr>
        <w:pStyle w:val=""/>
      </w:pPr>
      <w:r>
        <w:rPr>
          <w:b/>
          <w:sz w:val="24"/>
        </w:rPr>
        <w:t>二、注册会计师的责任</w:t>
      </w:r>
    </w:p>
    <w:p>
      <w:pPr>
        <w:pStyle w:val=""/>
      </w:pPr>
      <w:r>
        <w:rPr>
          <w:sz w:val="24"/>
        </w:rPr>
        <w:t>我们的责任是在执行审计工作的基础上对财务报表发表审计意见。我们按照中国注册会计师审计准则和《基金会财务报表审计指引》的规定执行了审计工作。中国注册会计师审计准则要求我们遵守中国注册会计师职业道德守则，计划和执行审计工作以对财务报表是否不存在重大错报获取合理保证。</w:t>
      </w:r>
    </w:p>
    <w:p>
      <w:pPr>
        <w:pStyle w:val=""/>
      </w:pPr>
      <w:r>
        <w:rPr>
          <w:sz w:val="24"/>
        </w:rPr>
        <w:t>审计工作涉及实施审计程序，以获取有关财务报表金额和披露的审计证据。选择的审计程序取决于注册会计师的判断，包括对由于舞弊或错误导致的财务报表重大错报风险的评估。在进行风险评估时，注册会计师考虑与财务报表编制和公允列报相关的内部控制，以设计恰当的审计程序，但目的并非对内部控制的有效性发表意见。审计工作还包括评价管理层选用会计政策的恰当性和作出会计估计的合理性，以及评价财务报表的总体列报。</w:t>
      </w:r>
    </w:p>
    <w:p>
      <w:pPr>
        <w:pStyle w:val=""/>
      </w:pPr>
      <w:r>
        <w:rPr>
          <w:sz w:val="24"/>
        </w:rPr>
        <w:t>我们相信，我们获取的审计证据是充分、适当的，为发表审计意见提供了基础。</w:t>
      </w:r>
    </w:p>
    <w:p>
      <w:pPr>
        <w:pStyle w:val=""/>
      </w:pPr>
      <w:r>
        <w:rPr>
          <w:b/>
          <w:sz w:val="24"/>
        </w:rPr>
        <w:t>三、基本情况</w:t>
      </w:r>
    </w:p>
    <w:p>
      <w:pPr>
        <w:pStyle w:val=""/>
      </w:pPr>
      <w:r>
        <w:rPr>
          <w:sz w:val="24"/>
        </w:rPr>
        <w:t>美国祝福之手广西代表处统一社会信用代码为G1450000MCW1705547。2017年9月28日经广西壮族自治区公安厅批准颁发了境外非政府组织代表机构登记证书，首席代表：刘杰锋，地址为广西壮族自治区南宁市青秀区东葛路88号嘉园小区C座801号，业务主管单位为广西壮族自治区教育厅。</w:t>
      </w:r>
    </w:p>
    <w:p>
      <w:pPr>
        <w:pStyle w:val=""/>
      </w:pPr>
      <w:r>
        <w:rPr>
          <w:b/>
          <w:sz w:val="24"/>
        </w:rPr>
        <w:t>四、财务状况</w:t>
      </w:r>
    </w:p>
    <w:p>
      <w:pPr>
        <w:pStyle w:val=""/>
      </w:pPr>
      <w:r>
        <w:rPr>
          <w:rFonts w:hAnsi="SimSun"/>
          <w:sz w:val="24"/>
        </w:rPr>
        <w:t>1、</w:t>
      </w:r>
      <w:r>
        <w:rPr>
          <w:sz w:val="24"/>
        </w:rPr>
        <w:t>美国祝福之手广西代表处</w:t>
      </w:r>
      <w:r>
        <w:rPr>
          <w:rFonts w:hAnsi="SimSun"/>
          <w:sz w:val="24"/>
        </w:rPr>
        <w:t>截止2018年12月31日资产总额为566,664.14元，其中：货币资金566,664.14元。</w:t>
      </w:r>
    </w:p>
    <w:p>
      <w:pPr>
        <w:pStyle w:val=""/>
        <w:rPr>
          <w:rFonts w:hAnsi="SimSun"/>
          <w:sz w:val="24"/>
        </w:rPr>
      </w:pPr>
      <w:r>
        <w:rPr>
          <w:rFonts w:hAnsi="SimSun"/>
          <w:sz w:val="24"/>
        </w:rPr>
        <w:t>2、</w:t>
      </w:r>
      <w:r>
        <w:rPr>
          <w:sz w:val="24"/>
        </w:rPr>
        <w:t>美国祝福之手广西代表处</w:t>
      </w:r>
      <w:r>
        <w:rPr>
          <w:rFonts w:hAnsi="SimSun"/>
          <w:sz w:val="24"/>
        </w:rPr>
        <w:t>截止2018年12月31日负债总额为0.00元。</w:t>
      </w:r>
    </w:p>
    <w:p>
      <w:pPr>
        <w:pStyle w:val=""/>
      </w:pPr>
      <w:r>
        <w:rPr>
          <w:rFonts w:hAnsi="SimSun"/>
          <w:sz w:val="24"/>
        </w:rPr>
        <w:t>3、</w:t>
      </w:r>
      <w:r>
        <w:rPr>
          <w:sz w:val="24"/>
        </w:rPr>
        <w:t>美国祝福之手广西代表处</w:t>
      </w:r>
      <w:r>
        <w:rPr>
          <w:rFonts w:hAnsi="SimSun"/>
          <w:sz w:val="24"/>
        </w:rPr>
        <w:t>截止2018年12月31日净资产总额为566,664.14元，其中：限定性净资产0.00元，非限定性净资产566,664.14元。</w:t>
      </w:r>
    </w:p>
    <w:p>
      <w:pPr>
        <w:pStyle w:val=""/>
      </w:pPr>
      <w:r>
        <w:rPr>
          <w:rFonts w:hAnsi="SimSun"/>
          <w:sz w:val="24"/>
        </w:rPr>
        <w:t xml:space="preserve">4、 </w:t>
      </w:r>
      <w:r>
        <w:rPr>
          <w:sz w:val="24"/>
        </w:rPr>
        <w:t>美国祝福之手广西代表处</w:t>
      </w:r>
      <w:r>
        <w:rPr>
          <w:rFonts w:hAnsi="SimSun"/>
          <w:sz w:val="24"/>
        </w:rPr>
        <w:t>2018年度收入1,218,669.92元，其中：捐赠收入1,216,865.11元，其他收入1,804.81元。</w:t>
      </w:r>
    </w:p>
    <w:p>
      <w:pPr>
        <w:pStyle w:val=""/>
      </w:pPr>
      <w:r>
        <w:rPr>
          <w:sz w:val="24"/>
        </w:rPr>
        <w:t xml:space="preserve">    美国祝福之手广西代表处</w:t>
      </w:r>
      <w:r>
        <w:rPr>
          <w:rFonts w:hAnsi="SimSun"/>
          <w:sz w:val="24"/>
        </w:rPr>
        <w:t>2018年度支出851,305.44元，其中：业务活动成本791,024.10元，管理费用60,281.34元，筹资费用0.00元，其他费用0.00元。</w:t>
      </w:r>
    </w:p>
    <w:p>
      <w:pPr>
        <w:pStyle w:val=""/>
      </w:pPr>
      <w:r>
        <w:rPr>
          <w:rFonts w:hAnsi="SimSun"/>
          <w:sz w:val="24"/>
        </w:rPr>
        <w:t>5、</w:t>
      </w:r>
      <w:r>
        <w:rPr>
          <w:sz w:val="24"/>
        </w:rPr>
        <w:t>美国祝福之手广西代表处</w:t>
      </w:r>
      <w:r>
        <w:rPr>
          <w:rFonts w:hAnsi="SimSun"/>
          <w:sz w:val="24"/>
        </w:rPr>
        <w:t>2018年度公益事业支出791,024.10元（</w:t>
      </w:r>
      <w:r>
        <w:rPr>
          <w:color w:val="000000"/>
          <w:rFonts w:hAnsi="SimSun"/>
          <w:sz w:val="24"/>
        </w:rPr>
        <w:t>其中：区内公益事业支出607, 324.10元，区外公益事业支出183,700.00元</w:t>
      </w:r>
      <w:r>
        <w:rPr>
          <w:rFonts w:hAnsi="SimSun"/>
          <w:sz w:val="24"/>
        </w:rPr>
        <w:t>）</w:t>
      </w:r>
      <w:r>
        <w:rPr>
          <w:color w:val="000000"/>
          <w:rFonts w:hAnsi="SimSun"/>
          <w:sz w:val="24"/>
        </w:rPr>
        <w:t>，</w:t>
      </w:r>
      <w:r>
        <w:rPr>
          <w:rFonts w:hAnsi="SimSun"/>
          <w:sz w:val="24"/>
        </w:rPr>
        <w:t>上年末净资产199,299.66元，公益事业支出占上一年基金余额的比例为397%；工作人员工资福利58,992.54元，行政办公支出1,288.80元，工作人员工资福利和行政办公支出占本年支出的比例为7.08%。</w:t>
      </w:r>
    </w:p>
    <w:p>
      <w:pPr>
        <w:pStyle w:val=""/>
      </w:pPr>
      <w:r>
        <w:rPr>
          <w:b/>
          <w:sz w:val="24"/>
        </w:rPr>
        <w:t>五、审计意见</w:t>
      </w:r>
    </w:p>
    <w:p>
      <w:pPr>
        <w:pStyle w:val=""/>
      </w:pPr>
      <w:r>
        <w:rPr>
          <w:sz w:val="24"/>
        </w:rPr>
        <w:t xml:space="preserve">我们认为，美国祝福之手广西代表处财务报表已按照《民间非营利组织会计制度》的规定编制，在所有重大方面公允反映了美国祝福之手广西代表处2018年12月31日的财务状况以及2018年度的业务活动成果和现金流量。 </w:t>
      </w:r>
    </w:p>
    <w:p>
      <w:pPr>
        <w:pStyle w:val=""/>
      </w:pPr>
      <w:r>
        <w:rPr>
          <w:rFonts w:hAnsi="SimSun"/>
          <w:sz w:val="24"/>
        </w:rPr>
        <w:t xml:space="preserve"> </w:t>
      </w:r>
    </w:p>
    <w:p>
      <w:pPr>
        <w:pStyle w:val=""/>
        <w:rPr>
          <w:rFonts w:hAnsi="SimSun"/>
          <w:sz w:val="24"/>
        </w:rPr>
      </w:pPr>
    </w:p>
    <w:p>
      <w:pPr>
        <w:pStyle w:val=""/>
      </w:pPr>
      <w:r>
        <w:rPr>
          <w:rFonts w:hAnsi="SimSun"/>
          <w:sz w:val="24"/>
        </w:rPr>
        <w:t>广西天辰会计师事务所有限公司          中国注册会计师：</w:t>
      </w:r>
    </w:p>
    <w:p>
      <w:pPr>
        <w:pStyle w:val=""/>
        <w:rPr>
          <w:rFonts w:hAnsi="SimSun"/>
          <w:sz w:val="24"/>
        </w:rPr>
      </w:pPr>
    </w:p>
    <w:p>
      <w:pPr>
        <w:pStyle w:val=""/>
      </w:pPr>
      <w:r>
        <w:rPr>
          <w:rFonts w:hAnsi="SimSun"/>
          <w:sz w:val="24"/>
        </w:rPr>
        <w:t xml:space="preserve">       中国     广西                  中国注册会计师： </w:t>
      </w:r>
    </w:p>
    <w:p>
      <w:pPr>
        <w:pStyle w:val=""/>
        <w:rPr>
          <w:rFonts w:hAnsi="SimSun"/>
          <w:sz w:val="24"/>
        </w:rPr>
      </w:pPr>
    </w:p>
    <w:p>
      <w:pPr>
        <w:pStyle w:val=""/>
        <w:sectPr>
          <w:footerReference r:id="rId10" w:type="default"/>
          <w:pgSz w:w="11906" w:h="16838"/>
          <w:pgMar w:left="1800" w:right="1800" w:top="1440" w:bottom="1091"/>
        </w:sectPr>
      </w:pPr>
      <w:r>
        <w:rPr>
          <w:rFonts w:hAnsi="SimSun"/>
          <w:sz w:val="24"/>
        </w:rPr>
        <w:t xml:space="preserve">                                          二0一九年一月二十八日 </w:t>
      </w:r>
    </w:p>
    <w:p>
      <w:pPr>
        <w:pStyle w:val=""/>
      </w:pPr>
      <w:r>
        <w:rPr>
          <w:b/>
          <w:rFonts w:ascii="SimSun" w:hAnsi="SimSun"/>
          <w:sz w:val="24"/>
        </w:rPr>
        <w:t>美国祝福之手广西代表处</w:t>
      </w:r>
    </w:p>
    <w:p>
      <w:pPr>
        <w:pStyle w:val=""/>
        <w:rPr>
          <w:sz w:val="24"/>
        </w:rPr>
      </w:pPr>
      <w:r>
        <w:rPr>
          <w:b/>
          <w:rFonts w:ascii="SimSun" w:hAnsi="SimSun"/>
          <w:sz w:val="24"/>
        </w:rPr>
        <w:t>财务报表附注</w:t>
      </w:r>
    </w:p>
    <w:p>
      <w:pPr>
        <w:pStyle w:val=""/>
        <w:rPr>
          <w:u w:val="single"/>
          <w:rFonts w:ascii="SimSun" w:hAnsi="SimSun"/>
          <w:sz w:val="24"/>
        </w:rPr>
      </w:pPr>
      <w:r>
        <w:rPr>
          <w:u w:val="single"/>
          <w:rFonts w:ascii="SimSun" w:hAnsi="SimSun"/>
          <w:sz w:val="24"/>
        </w:rPr>
        <w:t xml:space="preserve">                                                                                    </w:t>
      </w:r>
    </w:p>
    <w:p>
      <w:pPr>
        <w:pStyle w:val=""/>
        <w:rPr>
          <w:b/>
          <w:rFonts w:ascii="SimSun" w:hAnsi="SimSun"/>
          <w:sz w:val="24"/>
        </w:rPr>
      </w:pPr>
      <w:r>
        <w:rPr>
          <w:rFonts w:ascii="SimSun" w:hAnsi="SimSun"/>
          <w:sz w:val="24"/>
        </w:rPr>
        <w:t xml:space="preserve">  </w:t>
      </w:r>
      <w:r>
        <w:rPr>
          <w:b/>
          <w:rFonts w:ascii="SimSun" w:hAnsi="SimSun"/>
          <w:sz w:val="24"/>
        </w:rPr>
        <w:t xml:space="preserve"> </w:t>
      </w:r>
      <w:r>
        <w:rPr>
          <w:b/>
          <w:rFonts w:ascii="SimSun" w:hAnsi="SimSun"/>
          <w:sz w:val="24"/>
        </w:rPr>
        <w:t xml:space="preserve"> 一、基本情况</w:t>
      </w:r>
    </w:p>
    <w:p>
      <w:pPr>
        <w:pStyle w:val=""/>
      </w:pPr>
      <w:r>
        <w:rPr>
          <w:rFonts w:ascii="SimSun" w:hAnsi="SimSun"/>
          <w:sz w:val="24"/>
        </w:rPr>
        <w:t>美国祝福之手广西代表处（以下简称广西代表处）于2017年9月28日经广西壮族自治区公安厅批准登记。统一社会信用代码：G1450000MCW1705547。首席代表：刘杰锋。</w:t>
      </w:r>
    </w:p>
    <w:p>
      <w:pPr>
        <w:pStyle w:val=""/>
      </w:pPr>
      <w:r>
        <w:rPr>
          <w:rFonts w:ascii="SimSun" w:hAnsi="SimSun"/>
          <w:sz w:val="24"/>
        </w:rPr>
        <w:t>业务主管单位：广西壮族自治区教育厅。</w:t>
      </w:r>
    </w:p>
    <w:p>
      <w:pPr>
        <w:pStyle w:val=""/>
      </w:pPr>
      <w:r>
        <w:rPr>
          <w:rFonts w:ascii="SimSun" w:hAnsi="SimSun"/>
          <w:sz w:val="24"/>
        </w:rPr>
        <w:t>业务范围：支助贫困学生及家庭；资助高中生和大学生学费、小学生和初中生学习和生活用品、贫困家庭特殊医疗；改善学校办学条件；资助贫困地区学校教学和课外活动用品、净水设备、图书资料、电脑等。</w:t>
      </w:r>
    </w:p>
    <w:p>
      <w:pPr>
        <w:pStyle w:val=""/>
        <w:rPr>
          <w:b/>
          <w:rFonts w:ascii="SimSun" w:hAnsi="SimSun"/>
          <w:sz w:val="24"/>
        </w:rPr>
      </w:pPr>
      <w:r>
        <w:rPr>
          <w:b/>
          <w:rFonts w:ascii="SimSun" w:hAnsi="SimSun"/>
          <w:sz w:val="24"/>
        </w:rPr>
        <w:t>二、财务</w:t>
      </w:r>
      <w:r>
        <w:rPr>
          <w:b/>
          <w:rFonts w:ascii="SimSun" w:hAnsi="SimSun"/>
          <w:sz w:val="24"/>
        </w:rPr>
        <w:t>报表的编制基础</w:t>
      </w:r>
    </w:p>
    <w:p>
      <w:pPr>
        <w:pStyle w:val=""/>
      </w:pPr>
      <w:r>
        <w:rPr>
          <w:rFonts w:ascii="SimSun" w:hAnsi="SimSun"/>
          <w:sz w:val="24"/>
        </w:rPr>
        <w:t>本基金会广西代表处管理层对基金会持续运营能力评估后，认为基金会不存在可能导致持续运营产生重大疑虑的事项或情况，本基金会财务报表是按照持续运营假设为基础编制的。</w:t>
      </w:r>
    </w:p>
    <w:p>
      <w:pPr>
        <w:pStyle w:val=""/>
      </w:pPr>
      <w:r>
        <w:rPr>
          <w:b/>
          <w:rFonts w:ascii="SimSun" w:hAnsi="SimSun"/>
          <w:sz w:val="24"/>
        </w:rPr>
        <w:t>三、财务报表符合《民间非营利组织会计制度》的声明</w:t>
      </w:r>
    </w:p>
    <w:p>
      <w:pPr>
        <w:pStyle w:val=""/>
        <w:rPr>
          <w:b/>
          <w:rFonts w:ascii="SimSun" w:hAnsi="SimSun"/>
          <w:sz w:val="24"/>
        </w:rPr>
      </w:pPr>
      <w:r>
        <w:rPr>
          <w:rFonts w:ascii="SimSun" w:hAnsi="SimSun"/>
          <w:sz w:val="24"/>
        </w:rPr>
        <w:t>本基金会广西代表处财务报表的编制符合《民间非营利组织会计制度》的要求，真实、完整地反映了本基金会广西代表处的财务状况、业务活动情况和现金流量。</w:t>
      </w:r>
    </w:p>
    <w:p>
      <w:pPr>
        <w:pStyle w:val=""/>
      </w:pPr>
      <w:r>
        <w:rPr>
          <w:b/>
          <w:rFonts w:ascii="SimSun" w:hAnsi="SimSun"/>
          <w:sz w:val="24"/>
        </w:rPr>
        <w:t>四、主要会计政策</w:t>
      </w:r>
    </w:p>
    <w:p>
      <w:pPr>
        <w:pStyle w:val=""/>
      </w:pPr>
      <w:r>
        <w:rPr>
          <w:b/>
          <w:rFonts w:ascii="SimSun" w:hAnsi="SimSun"/>
          <w:sz w:val="24"/>
        </w:rPr>
        <w:t>会计制度</w:t>
      </w:r>
    </w:p>
    <w:p>
      <w:pPr>
        <w:pStyle w:val=""/>
      </w:pPr>
      <w:r>
        <w:rPr>
          <w:rFonts w:ascii="SimSun" w:hAnsi="SimSun"/>
          <w:sz w:val="24"/>
        </w:rPr>
        <w:t>本基金会广西代表处执行中华人民共和国财政部颁发的《民间非营利组织会计制度》及其补充规定。</w:t>
      </w:r>
    </w:p>
    <w:p>
      <w:pPr>
        <w:pStyle w:val=""/>
      </w:pPr>
      <w:r>
        <w:rPr>
          <w:b/>
          <w:rFonts w:ascii="SimSun" w:hAnsi="SimSun"/>
          <w:sz w:val="24"/>
        </w:rPr>
        <w:t>会计期间</w:t>
      </w:r>
    </w:p>
    <w:p>
      <w:pPr>
        <w:pStyle w:val=""/>
      </w:pPr>
      <w:r>
        <w:rPr>
          <w:rFonts w:ascii="SimSun" w:hAnsi="SimSun"/>
          <w:sz w:val="24"/>
        </w:rPr>
        <w:t>本基金会广西代表处以1月1日起12月31日止为一个会计年度。</w:t>
      </w:r>
    </w:p>
    <w:p>
      <w:pPr>
        <w:pStyle w:val=""/>
      </w:pPr>
      <w:r>
        <w:rPr>
          <w:b/>
          <w:rFonts w:ascii="SimSun" w:hAnsi="SimSun"/>
          <w:sz w:val="24"/>
        </w:rPr>
        <w:t>记账本位币</w:t>
      </w:r>
    </w:p>
    <w:p>
      <w:pPr>
        <w:pStyle w:val=""/>
      </w:pPr>
      <w:r>
        <w:rPr>
          <w:rFonts w:ascii="SimSun" w:hAnsi="SimSun"/>
          <w:sz w:val="24"/>
        </w:rPr>
        <w:t>本基金会广西代表处以人民币为记账本位币。</w:t>
      </w:r>
    </w:p>
    <w:p>
      <w:pPr>
        <w:pStyle w:val=""/>
      </w:pPr>
      <w:r>
        <w:rPr>
          <w:b/>
          <w:rFonts w:ascii="SimSun" w:hAnsi="SimSun"/>
          <w:sz w:val="24"/>
        </w:rPr>
        <w:t>记账基础和计价原则</w:t>
      </w:r>
    </w:p>
    <w:p>
      <w:pPr>
        <w:pStyle w:val=""/>
      </w:pPr>
      <w:r>
        <w:rPr>
          <w:rFonts w:ascii="SimSun" w:hAnsi="SimSun"/>
          <w:sz w:val="24"/>
        </w:rPr>
        <w:t>本基金会广西代表处会计核算以权责发生制为记账基础，资产以历史成本为计价原则。</w:t>
      </w:r>
    </w:p>
    <w:p>
      <w:pPr>
        <w:pStyle w:val=""/>
      </w:pPr>
      <w:r>
        <w:rPr>
          <w:b/>
          <w:rFonts w:ascii="SimSun" w:hAnsi="SimSun"/>
          <w:sz w:val="24"/>
        </w:rPr>
        <w:t>外币业务核算方法</w:t>
      </w:r>
    </w:p>
    <w:p>
      <w:pPr>
        <w:pStyle w:val=""/>
      </w:pPr>
      <w:r>
        <w:rPr>
          <w:rFonts w:ascii="SimSun" w:hAnsi="SimSun"/>
          <w:sz w:val="24"/>
        </w:rPr>
        <w:t>本基金会广西代表处会计年度内涉及的外币经营业务，按业务实际发生日（当月1 日）市场汇价（中间价）折合为人民币记账，月（年）末对货币性项目按月（年）末的市场汇率进行调整，由此产生的汇兑损益，按用途及性质计入当期财务费用或予以资本化。</w:t>
      </w:r>
    </w:p>
    <w:p>
      <w:pPr>
        <w:pStyle w:val=""/>
      </w:pPr>
      <w:r>
        <w:rPr>
          <w:b/>
          <w:rFonts w:ascii="SimSun" w:hAnsi="SimSun"/>
          <w:sz w:val="24"/>
        </w:rPr>
        <w:t>短期投资核算方法</w:t>
      </w:r>
    </w:p>
    <w:p>
      <w:pPr>
        <w:pStyle w:val=""/>
      </w:pPr>
      <w:r>
        <w:rPr>
          <w:rFonts w:ascii="SimSun" w:hAnsi="SimSun"/>
          <w:sz w:val="24"/>
        </w:rPr>
        <w:t>短期投资指本基金会广西代表处持有的能够随时变现并且持有时间不准备超过一年（含一年）的投资，包括股票、债券投资等。</w:t>
      </w:r>
    </w:p>
    <w:p>
      <w:pPr>
        <w:pStyle w:val=""/>
      </w:pPr>
      <w:r>
        <w:rPr>
          <w:rFonts w:ascii="SimSun" w:hAnsi="SimSun"/>
          <w:sz w:val="24"/>
        </w:rPr>
        <w:t>短期投资在取得时按照投资成本计量。</w:t>
      </w:r>
    </w:p>
    <w:p>
      <w:pPr>
        <w:pStyle w:val=""/>
      </w:pPr>
      <w:r>
        <w:rPr>
          <w:rFonts w:ascii="SimSun" w:hAnsi="SimSun"/>
          <w:sz w:val="24"/>
        </w:rPr>
        <w:t>处置短期投资时，应将实际取得的价款与短期投资账面价值的差额确认为当期投资损益。</w:t>
      </w:r>
    </w:p>
    <w:p>
      <w:pPr>
        <w:pStyle w:val=""/>
      </w:pPr>
      <w:r>
        <w:rPr>
          <w:b/>
          <w:rFonts w:ascii="SimSun" w:hAnsi="SimSun"/>
          <w:sz w:val="24"/>
        </w:rPr>
        <w:t>长期投资核算方法</w:t>
      </w:r>
    </w:p>
    <w:p>
      <w:pPr>
        <w:pStyle w:val=""/>
      </w:pPr>
      <w:r>
        <w:rPr>
          <w:rFonts w:ascii="SimSun" w:hAnsi="SimSun"/>
          <w:sz w:val="24"/>
        </w:rPr>
        <w:t>长期股权投资</w:t>
      </w:r>
    </w:p>
    <w:p>
      <w:pPr>
        <w:pStyle w:val=""/>
      </w:pPr>
      <w:r>
        <w:rPr>
          <w:rFonts w:ascii="SimSun" w:hAnsi="SimSun"/>
          <w:sz w:val="24"/>
        </w:rPr>
        <w:t>本基金会广西代表处长期股权投资在取得时按初始投资成本计价。对被投资单位没有控制、共同控制和重大影响的，采用成本法核算；对被投资单位具有控制、共同控制和重大影响的，采用权益法核算。</w:t>
      </w:r>
    </w:p>
    <w:p>
      <w:pPr>
        <w:pStyle w:val=""/>
      </w:pPr>
      <w:r>
        <w:rPr>
          <w:rFonts w:ascii="SimSun" w:hAnsi="SimSun"/>
          <w:sz w:val="24"/>
        </w:rPr>
        <w:t>（2）长期债权投资</w:t>
      </w:r>
    </w:p>
    <w:p>
      <w:pPr>
        <w:pStyle w:val=""/>
      </w:pPr>
      <w:r>
        <w:rPr>
          <w:rFonts w:ascii="SimSun" w:hAnsi="SimSun"/>
          <w:sz w:val="24"/>
        </w:rPr>
        <w:t>本基金会广西代表处长期债权投资按取得时的实际成本作为初始投资成本。长期债权投资按直线法计提利息及摊销债券折溢价。</w:t>
      </w:r>
    </w:p>
    <w:p>
      <w:pPr>
        <w:pStyle w:val=""/>
      </w:pPr>
      <w:r>
        <w:rPr>
          <w:rFonts w:ascii="SimSun" w:hAnsi="SimSun"/>
          <w:sz w:val="24"/>
        </w:rPr>
        <w:t>（3）长期投资减值准备</w:t>
      </w:r>
    </w:p>
    <w:p>
      <w:pPr>
        <w:pStyle w:val=""/>
      </w:pPr>
      <w:r>
        <w:rPr>
          <w:rFonts w:ascii="SimSun" w:hAnsi="SimSun"/>
          <w:sz w:val="24"/>
        </w:rPr>
        <w:t>本基金会广西代表处期末对长期投资逐项进行检查，按单项投资可回收金额低于账面价值的差额计提长期投资减值准备。</w:t>
      </w:r>
    </w:p>
    <w:p>
      <w:pPr>
        <w:pStyle w:val=""/>
      </w:pPr>
      <w:r>
        <w:rPr>
          <w:b/>
          <w:rFonts w:ascii="SimSun" w:hAnsi="SimSun"/>
          <w:sz w:val="24"/>
        </w:rPr>
        <w:t>固定资产计价及其折旧方法</w:t>
      </w:r>
    </w:p>
    <w:p>
      <w:pPr>
        <w:pStyle w:val=""/>
        <w:rPr>
          <w:rFonts w:ascii="SimSun" w:hAnsi="SimSun"/>
          <w:sz w:val="24"/>
        </w:rPr>
      </w:pPr>
      <w:r>
        <w:rPr>
          <w:rFonts w:ascii="SimSun" w:hAnsi="SimSun"/>
          <w:sz w:val="24"/>
        </w:rPr>
        <w:t>固定资产</w:t>
      </w:r>
      <w:r>
        <w:rPr>
          <w:rFonts w:ascii="SimSun" w:hAnsi="SimSun"/>
          <w:sz w:val="24"/>
        </w:rPr>
        <w:t>是指</w:t>
      </w:r>
      <w:r>
        <w:rPr>
          <w:rFonts w:ascii="SimSun" w:hAnsi="SimSun"/>
          <w:sz w:val="24"/>
        </w:rPr>
        <w:t>为行政管理、提供服务、生产商品或者出租目的而持有的，预计使用年限超过1年，且单位价值较高的资产</w:t>
      </w:r>
      <w:r>
        <w:rPr>
          <w:rFonts w:ascii="SimSun" w:hAnsi="SimSun"/>
          <w:sz w:val="24"/>
        </w:rPr>
        <w:t>。</w:t>
      </w:r>
    </w:p>
    <w:p>
      <w:pPr>
        <w:pStyle w:val=""/>
      </w:pPr>
      <w:r>
        <w:rPr>
          <w:rFonts w:ascii="SimSun" w:hAnsi="SimSun"/>
          <w:sz w:val="24"/>
        </w:rPr>
        <w:t>固定资产按取得时实际成本计价。</w:t>
      </w:r>
    </w:p>
    <w:p>
      <w:pPr>
        <w:pStyle w:val=""/>
        <w:rPr>
          <w:b/>
          <w:rFonts w:ascii="SimSun" w:hAnsi="SimSun"/>
          <w:sz w:val="24"/>
        </w:rPr>
      </w:pPr>
      <w:r>
        <w:rPr>
          <w:rFonts w:ascii="SimSun" w:hAnsi="SimSun"/>
          <w:sz w:val="24"/>
        </w:rPr>
        <w:t>固定资产按税法规定</w:t>
      </w:r>
      <w:r>
        <w:rPr>
          <w:color w:val="000000"/>
          <w:rFonts w:ascii="SimSun" w:hAnsi="SimSun"/>
          <w:sz w:val="24"/>
        </w:rPr>
        <w:t>年限平均法（直线法）</w:t>
      </w:r>
      <w:r>
        <w:rPr>
          <w:rFonts w:ascii="SimSun" w:hAnsi="SimSun"/>
          <w:sz w:val="24"/>
        </w:rPr>
        <w:t>计提折旧。</w:t>
      </w:r>
    </w:p>
    <w:p>
      <w:pPr>
        <w:pStyle w:val=""/>
      </w:pPr>
      <w:r>
        <w:rPr>
          <w:color w:val="000000"/>
          <w:rFonts w:ascii="SimSun" w:hAnsi="SimSun"/>
          <w:sz w:val="24"/>
        </w:rPr>
        <w:t>不计提折旧的固定资产</w:t>
      </w:r>
    </w:p>
    <w:p>
      <w:pPr>
        <w:pStyle w:val=""/>
      </w:pPr>
      <w:r>
        <w:rPr>
          <w:color w:val="000000"/>
          <w:rFonts w:ascii="SimSun" w:hAnsi="SimSun"/>
          <w:sz w:val="24"/>
        </w:rPr>
        <w:t xml:space="preserve">      用于展览、教育或研究等目的的历史文物、艺术品以及其他具有文化或者历史价值并作为长期或者永久保存的典藏等，作为固定资产核算，不必计提折旧。</w:t>
      </w:r>
    </w:p>
    <w:p>
      <w:pPr>
        <w:pStyle w:val=""/>
      </w:pPr>
      <w:r>
        <w:rPr>
          <w:rFonts w:ascii="SimSun" w:hAnsi="SimSun"/>
          <w:sz w:val="24"/>
        </w:rPr>
        <w:t>在建工程核算方法</w:t>
      </w:r>
    </w:p>
    <w:p>
      <w:pPr>
        <w:pStyle w:val=""/>
      </w:pPr>
      <w:r>
        <w:rPr>
          <w:rFonts w:ascii="SimSun" w:hAnsi="SimSun"/>
          <w:sz w:val="24"/>
        </w:rPr>
        <w:t>在建工程应当按照实际发生的支出确定其工程成本，包括施工前期准备、正在施工中的建筑工程、安装工程、技术改造工程等。</w:t>
      </w:r>
    </w:p>
    <w:p>
      <w:pPr>
        <w:pStyle w:val=""/>
      </w:pPr>
      <w:r>
        <w:rPr>
          <w:b/>
          <w:rFonts w:ascii="SimSun" w:hAnsi="SimSun"/>
          <w:sz w:val="24"/>
        </w:rPr>
        <w:t>无形资产计价和摊销方法</w:t>
      </w:r>
    </w:p>
    <w:p>
      <w:pPr>
        <w:pStyle w:val=""/>
      </w:pPr>
      <w:r>
        <w:rPr>
          <w:rFonts w:ascii="SimSun" w:hAnsi="SimSun"/>
          <w:sz w:val="24"/>
        </w:rPr>
        <w:t xml:space="preserve">本基金会广西代表处对购入或按法律程序申请取得的无形资产，按取得时的实际成本入账。 </w:t>
      </w:r>
    </w:p>
    <w:p>
      <w:pPr>
        <w:pStyle w:val=""/>
      </w:pPr>
      <w:r>
        <w:rPr>
          <w:b/>
          <w:rFonts w:ascii="SimSun" w:hAnsi="SimSun"/>
          <w:sz w:val="24"/>
        </w:rPr>
        <w:t>受托代理资产</w:t>
      </w:r>
    </w:p>
    <w:p>
      <w:pPr>
        <w:pStyle w:val=""/>
      </w:pPr>
      <w:r>
        <w:rPr>
          <w:rFonts w:ascii="SimSun" w:hAnsi="SimSun"/>
          <w:sz w:val="24"/>
        </w:rPr>
        <w:t>受托代理资产是指本基金会广西代表处接受委托方委托从事受托代理业务而收到的资产。</w:t>
      </w:r>
    </w:p>
    <w:p>
      <w:pPr>
        <w:pStyle w:val=""/>
      </w:pPr>
      <w:r>
        <w:rPr>
          <w:b/>
          <w:rFonts w:ascii="SimSun" w:hAnsi="SimSun"/>
          <w:sz w:val="24"/>
        </w:rPr>
        <w:t>预计负债的确认原则</w:t>
      </w:r>
    </w:p>
    <w:p>
      <w:pPr>
        <w:pStyle w:val=""/>
      </w:pPr>
      <w:r>
        <w:rPr>
          <w:rFonts w:ascii="SimSun" w:hAnsi="SimSun"/>
          <w:sz w:val="24"/>
        </w:rPr>
        <w:t>如果与或有事项相关的义务同时符合以下条件，本基金会将其确认为负债，以清偿该负债所需支出的最佳估计数予以计量，并在资产负债表中单列项目予以反映：</w:t>
      </w:r>
    </w:p>
    <w:p>
      <w:pPr>
        <w:pStyle w:val=""/>
      </w:pPr>
      <w:r>
        <w:rPr>
          <w:rFonts w:ascii="SimSun" w:hAnsi="SimSun"/>
          <w:sz w:val="24"/>
        </w:rPr>
        <w:t>该义务是基金会承担的现时义务。</w:t>
      </w:r>
    </w:p>
    <w:p>
      <w:pPr>
        <w:pStyle w:val=""/>
      </w:pPr>
      <w:r>
        <w:rPr>
          <w:rFonts w:ascii="SimSun" w:hAnsi="SimSun"/>
          <w:sz w:val="24"/>
        </w:rPr>
        <w:t>该义务的履行很可能导致经济利益流出。</w:t>
      </w:r>
    </w:p>
    <w:p>
      <w:pPr>
        <w:pStyle w:val=""/>
      </w:pPr>
      <w:r>
        <w:rPr>
          <w:rFonts w:ascii="SimSun" w:hAnsi="SimSun"/>
          <w:sz w:val="24"/>
        </w:rPr>
        <w:t>该义务的金额能够可靠地计量。</w:t>
      </w:r>
    </w:p>
    <w:p>
      <w:pPr>
        <w:pStyle w:val=""/>
      </w:pPr>
      <w:r>
        <w:rPr>
          <w:b/>
          <w:rFonts w:ascii="SimSun" w:hAnsi="SimSun"/>
          <w:sz w:val="24"/>
        </w:rPr>
        <w:t>限定性净资产、非限定性净资产确认原则</w:t>
      </w:r>
    </w:p>
    <w:p>
      <w:pPr>
        <w:pStyle w:val=""/>
      </w:pPr>
      <w:r>
        <w:rPr>
          <w:rFonts w:ascii="SimSun" w:hAnsi="SimSun"/>
          <w:sz w:val="24"/>
        </w:rPr>
        <w:t>资产或资产所产生的经济利益（如资产的投资利益和利息等）的使用受到资产提供者或者国家有关法律、行政法规所设置的时间限定或（和）用途限定，则由此形成的净资产为限定性净资产；除此之外的其他净资产，为非限定性净资产。</w:t>
      </w:r>
    </w:p>
    <w:p>
      <w:pPr>
        <w:pStyle w:val=""/>
      </w:pPr>
      <w:r>
        <w:rPr>
          <w:b/>
          <w:rFonts w:ascii="SimSun" w:hAnsi="SimSun"/>
          <w:sz w:val="24"/>
        </w:rPr>
        <w:t>收入确认原则</w:t>
      </w:r>
    </w:p>
    <w:p>
      <w:pPr>
        <w:pStyle w:val=""/>
        <w:rPr>
          <w:rFonts w:ascii="SimSun" w:hAnsi="SimSun"/>
          <w:sz w:val="24"/>
        </w:rPr>
      </w:pPr>
      <w:r>
        <w:rPr>
          <w:rFonts w:ascii="SimSun" w:hAnsi="SimSun"/>
          <w:sz w:val="24"/>
        </w:rPr>
        <w:t>收入是指民间非营利组织开展业务活动取得的、导致本期净资产增加的经济利益或者服务潜力的流入。收入应当按照其来源分为捐赠收入、政府补助收入、提供服务收入、投资收益、商品销售收入和其他收入等。</w:t>
      </w:r>
    </w:p>
    <w:p>
      <w:pPr>
        <w:pStyle w:val=""/>
      </w:pPr>
      <w:r>
        <w:rPr>
          <w:rFonts w:ascii="SimSun" w:hAnsi="SimSun"/>
          <w:sz w:val="24"/>
        </w:rPr>
        <w:t>本基金会广西代表处按以下规定确认收入实现，并按已实现的收入记账，计入当期损益。</w:t>
      </w:r>
    </w:p>
    <w:p>
      <w:pPr>
        <w:pStyle w:val=""/>
      </w:pPr>
      <w:r>
        <w:rPr>
          <w:rFonts w:ascii="SimSun" w:hAnsi="SimSun"/>
          <w:sz w:val="24"/>
        </w:rPr>
        <w:t>基金会广西代表处在确认收入时，应当区分交换交易所形成的收入和非交换交易所形成的收入。</w:t>
      </w:r>
    </w:p>
    <w:p>
      <w:pPr>
        <w:pStyle w:val=""/>
      </w:pPr>
      <w:r>
        <w:rPr>
          <w:rFonts w:ascii="SimSun" w:hAnsi="SimSun"/>
          <w:sz w:val="24"/>
        </w:rPr>
        <w:t>销售商品，已将商品所有权上的主要风险和报酬转换给购货方；既没有保留通常与所有权相联系的继续管理权，也没有对已出售的商品实施控制；与交易相关的经济利益能够流入；相关收入和成本能够可靠地计量时确认收入。</w:t>
      </w:r>
    </w:p>
    <w:p>
      <w:pPr>
        <w:pStyle w:val=""/>
      </w:pPr>
      <w:r>
        <w:rPr>
          <w:rFonts w:ascii="SimSun" w:hAnsi="SimSun"/>
          <w:sz w:val="24"/>
        </w:rPr>
        <w:t>提供劳务，在同一会计年度内开始并完成的劳务，应当在完成劳务时确认收入；如果劳务的开始和完成分属不同的会计年度，可以按照完工进度完成的工作量确认收入。</w:t>
      </w:r>
    </w:p>
    <w:p>
      <w:pPr>
        <w:pStyle w:val=""/>
      </w:pPr>
      <w:r>
        <w:rPr>
          <w:rFonts w:ascii="SimSun" w:hAnsi="SimSun"/>
          <w:sz w:val="24"/>
        </w:rPr>
        <w:t>让渡资产使用权，与交易相关的经济利益能够流入；收入的金额能够可靠地计量。</w:t>
      </w:r>
    </w:p>
    <w:p>
      <w:pPr>
        <w:pStyle w:val=""/>
      </w:pPr>
      <w:r>
        <w:rPr>
          <w:rFonts w:ascii="SimSun" w:hAnsi="SimSun"/>
          <w:sz w:val="24"/>
        </w:rPr>
        <w:t>无条件的捐赠或政府补助，在收到时确认收入；附条件的捐赠或政府补助，在取得捐赠资产或政府补助资产控制权时确认收入；但当基金会存在需要偿还全部或部分捐赠资产或者相应金额的现时义务时，应当根据需要偿还的金额确认一项负债和费用。</w:t>
      </w:r>
    </w:p>
    <w:p>
      <w:pPr>
        <w:pStyle w:val=""/>
        <w:rPr>
          <w:b/>
          <w:rFonts w:ascii="SimSun" w:hAnsi="SimSun"/>
          <w:sz w:val="24"/>
        </w:rPr>
      </w:pPr>
      <w:r>
        <w:rPr>
          <w:rFonts w:ascii="SimSun" w:hAnsi="SimSun"/>
          <w:sz w:val="24"/>
        </w:rPr>
        <w:t>接受捐赠的非货币性资产，应当以其公允价值计算。捐赠方在向基金会捐赠时，应当提供注明捐赠非货币性资产公允价值的证明，如果不能提供上述证明，不得向其开具公益性捐赠票据或者《非税收入一般缴款书》收据，不得确认为捐赠收入。</w:t>
      </w:r>
    </w:p>
    <w:p>
      <w:pPr>
        <w:pStyle w:val=""/>
      </w:pPr>
      <w:r>
        <w:rPr>
          <w:b/>
          <w:rFonts w:ascii="SimSun" w:hAnsi="SimSun"/>
          <w:sz w:val="24"/>
        </w:rPr>
        <w:t>五、财务报表主要项目注释</w:t>
      </w:r>
    </w:p>
    <w:p>
      <w:pPr>
        <w:pStyle w:val=""/>
        <w:rPr>
          <w:b/>
          <w:color w:val="000000"/>
          <w:rFonts w:ascii="SimSun" w:hAnsi="SimSun"/>
          <w:sz w:val="24"/>
        </w:rPr>
      </w:pPr>
      <w:r>
        <w:rPr>
          <w:b/>
          <w:color w:val="000000"/>
          <w:rFonts w:ascii="SimSun" w:hAnsi="SimSun"/>
          <w:sz w:val="24"/>
        </w:rPr>
        <w:t>1、货币资金</w:t>
      </w:r>
    </w:p>
    <w:tbl>
      <w:tblPr>
        <w:jc w:val="center"/>
        <w:tblStyle w:val="普通表格"/>
        <w:tblLook w:val="1E0"/>
        <w:tblW w:w="0" w:type="auto"/>
      </w:tblPr>
      <w:tblGrid>
        <w:gridCol w:w="2718"/>
        <w:gridCol w:w="1377"/>
        <w:gridCol w:w="1720"/>
        <w:gridCol w:w="2489"/>
      </w:tblGrid>
      <w:tr>
        <w:trPr>
          <w:trHeight w:val="397" w:hRule="atLeast"/>
        </w:trPr>
        <w:tc>
          <w:tcPr>
            <w:vAlign w:val="center"/>
            <w:tcW w:w="2718" w:type="dxa"/>
          </w:tcPr>
          <w:p>
            <w:pPr>
              <w:pStyle w:val=""/>
            </w:pPr>
            <w:r>
              <w:rPr>
                <w:rFonts w:ascii="SimSun" w:hAnsi="SimSun"/>
                <w:sz w:val="24"/>
              </w:rPr>
              <w:t>现金</w:t>
            </w:r>
          </w:p>
        </w:tc>
        <w:tc>
          <w:tcPr>
            <w:vAlign w:val="center"/>
            <w:tcW w:w="1377" w:type="dxa"/>
          </w:tcPr>
          <w:p>
            <w:pPr>
              <w:pStyle w:val=""/>
            </w:pPr>
            <w:r>
              <w:rPr>
                <w:color w:val="000000"/>
                <w:rFonts w:ascii="SimSun" w:hAnsi="SimSun"/>
                <w:sz w:val="24"/>
              </w:rPr>
              <w:t>人民币</w:t>
            </w:r>
          </w:p>
        </w:tc>
        <w:tc>
          <w:tcPr>
            <w:vAlign w:val="top"/>
            <w:tcW w:w="1720" w:type="dxa"/>
          </w:tcPr>
          <w:p>
            <w:pPr>
              <w:pStyle w:val=""/>
            </w:pPr>
          </w:p>
        </w:tc>
        <w:tc>
          <w:tcPr>
            <w:vAlign w:val="center"/>
            <w:tcW w:w="2489" w:type="dxa"/>
          </w:tcPr>
          <w:p>
            <w:pPr>
              <w:pStyle w:val=""/>
            </w:pPr>
            <w:r>
              <w:rPr>
                <w:rFonts w:ascii="SimSun" w:hAnsi="SimSun"/>
                <w:sz w:val="24"/>
              </w:rPr>
              <w:t>0.00</w:t>
            </w:r>
          </w:p>
        </w:tc>
      </w:tr>
      <w:tr>
        <w:trPr>
          <w:trHeight w:val="397" w:hRule="atLeast"/>
        </w:trPr>
        <w:tc>
          <w:tcPr>
            <w:vAlign w:val="center"/>
            <w:tcW w:w="2718" w:type="dxa"/>
          </w:tcPr>
          <w:p>
            <w:pPr>
              <w:pStyle w:val=""/>
            </w:pPr>
            <w:r>
              <w:rPr>
                <w:rFonts w:ascii="SimSun" w:hAnsi="SimSun"/>
                <w:sz w:val="24"/>
              </w:rPr>
              <w:t>银行存款</w:t>
            </w:r>
          </w:p>
        </w:tc>
        <w:tc>
          <w:tcPr>
            <w:vAlign w:val="center"/>
            <w:tcW w:w="1377" w:type="dxa"/>
          </w:tcPr>
          <w:p>
            <w:pPr>
              <w:pStyle w:val=""/>
            </w:pPr>
            <w:r>
              <w:rPr>
                <w:color w:val="000000"/>
                <w:rFonts w:ascii="SimSun" w:hAnsi="SimSun"/>
                <w:sz w:val="24"/>
              </w:rPr>
              <w:t>人民币</w:t>
            </w:r>
          </w:p>
        </w:tc>
        <w:tc>
          <w:tcPr>
            <w:vAlign w:val="top"/>
            <w:tcW w:w="1720" w:type="dxa"/>
          </w:tcPr>
          <w:p>
            <w:pPr>
              <w:pStyle w:val=""/>
            </w:pPr>
          </w:p>
        </w:tc>
        <w:tc>
          <w:tcPr>
            <w:vAlign w:val="center"/>
            <w:tcW w:w="2489" w:type="dxa"/>
          </w:tcPr>
          <w:p>
            <w:pPr>
              <w:pStyle w:val=""/>
            </w:pPr>
            <w:r>
              <w:rPr>
                <w:color w:val="000000"/>
                <w:rFonts w:ascii="SimSun" w:hAnsi="SimSun"/>
                <w:sz w:val="24"/>
              </w:rPr>
              <w:t>566,664.14</w:t>
            </w:r>
          </w:p>
        </w:tc>
      </w:tr>
      <w:tr>
        <w:trPr>
          <w:trHeight w:val="397" w:hRule="atLeast"/>
        </w:trPr>
        <w:tc>
          <w:tcPr>
            <w:vAlign w:val="center"/>
            <w:tcW w:w="2718" w:type="dxa"/>
          </w:tcPr>
          <w:p>
            <w:pPr>
              <w:pStyle w:val=""/>
            </w:pPr>
            <w:r>
              <w:rPr>
                <w:rFonts w:ascii="SimSun" w:hAnsi="SimSun"/>
                <w:sz w:val="24"/>
              </w:rPr>
              <w:t xml:space="preserve">   其中：广西代表处对公账户</w:t>
            </w:r>
          </w:p>
        </w:tc>
        <w:tc>
          <w:tcPr>
            <w:vAlign w:val="center"/>
            <w:tcW w:w="1377" w:type="dxa"/>
          </w:tcPr>
          <w:p>
            <w:pPr>
              <w:pStyle w:val=""/>
            </w:pPr>
          </w:p>
        </w:tc>
        <w:tc>
          <w:tcPr>
            <w:vAlign w:val="top"/>
            <w:tcW w:w="1720" w:type="dxa"/>
          </w:tcPr>
          <w:p>
            <w:pPr>
              <w:pStyle w:val=""/>
            </w:pPr>
          </w:p>
        </w:tc>
        <w:tc>
          <w:tcPr>
            <w:vAlign w:val="center"/>
            <w:tcW w:w="2489" w:type="dxa"/>
          </w:tcPr>
          <w:p>
            <w:pPr>
              <w:pStyle w:val=""/>
            </w:pPr>
            <w:r>
              <w:rPr>
                <w:color w:val="000000"/>
                <w:rFonts w:ascii="SimSun" w:hAnsi="SimSun"/>
                <w:sz w:val="24"/>
              </w:rPr>
              <w:t>566,664.14</w:t>
            </w:r>
          </w:p>
        </w:tc>
      </w:tr>
    </w:tbl>
    <w:p>
      <w:pPr>
        <w:pStyle w:val=""/>
        <w:rPr>
          <w:b/>
          <w:color w:val="000000"/>
          <w:rFonts w:ascii="SimSun" w:hAnsi="SimSun"/>
          <w:sz w:val="24"/>
        </w:rPr>
      </w:pPr>
      <w:r>
        <w:rPr>
          <w:b/>
          <w:color w:val="000000"/>
          <w:rFonts w:ascii="SimSun" w:hAnsi="SimSun"/>
          <w:sz w:val="24"/>
        </w:rPr>
        <w:t xml:space="preserve">    </w:t>
      </w:r>
      <w:r>
        <w:rPr>
          <w:color w:val="000000"/>
          <w:rFonts w:ascii="SimSun" w:hAnsi="SimSun"/>
          <w:sz w:val="24"/>
        </w:rPr>
        <w:t xml:space="preserve"> </w:t>
      </w:r>
    </w:p>
    <w:p>
      <w:pPr>
        <w:pStyle w:val=""/>
      </w:pPr>
      <w:r>
        <w:rPr>
          <w:b/>
          <w:rFonts w:ascii="SimSun" w:hAnsi="SimSun"/>
          <w:sz w:val="24"/>
        </w:rPr>
        <w:t xml:space="preserve">2、净资产                  </w:t>
      </w:r>
    </w:p>
    <w:tbl>
      <w:tblPr>
        <w:tblStyle w:val="普通表格"/>
        <w:tblLook w:val="1E0"/>
        <w:tblW w:w="0" w:type="auto"/>
      </w:tblPr>
      <w:tblGrid>
        <w:gridCol w:w="1783"/>
        <w:gridCol w:w="1604"/>
        <w:gridCol w:w="1694"/>
        <w:gridCol w:w="1688"/>
        <w:gridCol w:w="1645"/>
      </w:tblGrid>
      <w:tr>
        <w:tc>
          <w:tcPr>
            <w:vAlign w:val="top"/>
            <w:tcW w:w="1783" w:type="dxa"/>
          </w:tcPr>
          <w:p>
            <w:pPr>
              <w:pStyle w:val=""/>
            </w:pPr>
            <w:r>
              <w:rPr>
                <w:u w:val="single"/>
                <w:color w:val="000000"/>
                <w:rFonts w:ascii="SimSun" w:hAnsi="SimSun"/>
                <w:sz w:val="24"/>
              </w:rPr>
              <w:t>项  目</w:t>
            </w:r>
          </w:p>
        </w:tc>
        <w:tc>
          <w:tcPr>
            <w:vAlign w:val="top"/>
            <w:tcW w:w="1604" w:type="dxa"/>
          </w:tcPr>
          <w:p>
            <w:pPr>
              <w:pStyle w:val=""/>
            </w:pPr>
            <w:r>
              <w:rPr>
                <w:u w:val="single"/>
                <w:color w:val="000000"/>
                <w:rFonts w:ascii="SimSun" w:hAnsi="SimSun"/>
                <w:sz w:val="24"/>
              </w:rPr>
              <w:t>年初</w:t>
            </w:r>
            <w:r>
              <w:rPr>
                <w:u w:val="single"/>
                <w:rFonts w:ascii="SimSun" w:hAnsi="SimSun"/>
                <w:sz w:val="24"/>
              </w:rPr>
              <w:t>账面余额</w:t>
            </w:r>
          </w:p>
        </w:tc>
        <w:tc>
          <w:tcPr>
            <w:vAlign w:val="top"/>
            <w:tcW w:w="1694" w:type="dxa"/>
          </w:tcPr>
          <w:p>
            <w:pPr>
              <w:pStyle w:val=""/>
            </w:pPr>
            <w:r>
              <w:rPr>
                <w:u w:val="single"/>
                <w:color w:val="000000"/>
                <w:rFonts w:ascii="SimSun" w:hAnsi="SimSun"/>
                <w:sz w:val="24"/>
              </w:rPr>
              <w:t>本年增加</w:t>
            </w:r>
          </w:p>
        </w:tc>
        <w:tc>
          <w:tcPr>
            <w:vAlign w:val="top"/>
            <w:tcW w:w="1688" w:type="dxa"/>
          </w:tcPr>
          <w:p>
            <w:pPr>
              <w:pStyle w:val=""/>
            </w:pPr>
            <w:r>
              <w:rPr>
                <w:u w:val="single"/>
                <w:color w:val="000000"/>
                <w:rFonts w:ascii="SimSun" w:hAnsi="SimSun"/>
                <w:sz w:val="24"/>
              </w:rPr>
              <w:t>本年</w:t>
            </w:r>
            <w:r>
              <w:rPr>
                <w:u w:val="single"/>
                <w:color w:val="000000"/>
                <w:rFonts w:ascii="SimSun" w:hAnsi="SimSun"/>
                <w:sz w:val="24"/>
              </w:rPr>
              <w:t>减少</w:t>
            </w:r>
          </w:p>
        </w:tc>
        <w:tc>
          <w:tcPr>
            <w:vAlign w:val="top"/>
            <w:tcW w:w="1645" w:type="dxa"/>
          </w:tcPr>
          <w:p>
            <w:pPr>
              <w:pStyle w:val=""/>
            </w:pPr>
            <w:r>
              <w:rPr>
                <w:u w:val="single"/>
                <w:color w:val="000000"/>
                <w:rFonts w:ascii="SimSun" w:hAnsi="SimSun"/>
                <w:sz w:val="24"/>
              </w:rPr>
              <w:t>年末</w:t>
            </w:r>
            <w:r>
              <w:rPr>
                <w:u w:val="single"/>
                <w:rFonts w:ascii="SimSun" w:hAnsi="SimSun"/>
                <w:sz w:val="24"/>
              </w:rPr>
              <w:t>账面余额</w:t>
            </w:r>
          </w:p>
        </w:tc>
      </w:tr>
      <w:tr>
        <w:tc>
          <w:tcPr>
            <w:vAlign w:val="top"/>
            <w:tcW w:w="1783" w:type="dxa"/>
          </w:tcPr>
          <w:p>
            <w:pPr>
              <w:pStyle w:val=""/>
            </w:pPr>
            <w:r>
              <w:rPr>
                <w:color w:val="000000"/>
                <w:rFonts w:ascii="SimSun" w:hAnsi="SimSun"/>
                <w:sz w:val="24"/>
              </w:rPr>
              <w:t>1、限定性净资产</w:t>
            </w:r>
          </w:p>
        </w:tc>
        <w:tc>
          <w:tcPr>
            <w:vAlign w:val="top"/>
            <w:tcW w:w="1604" w:type="dxa"/>
          </w:tcPr>
          <w:p>
            <w:pPr>
              <w:pStyle w:val=""/>
            </w:pPr>
            <w:r>
              <w:rPr>
                <w:color w:val="000000"/>
                <w:rFonts w:ascii="SimSun" w:hAnsi="SimSun"/>
                <w:sz w:val="24"/>
              </w:rPr>
              <w:t xml:space="preserve"> </w:t>
            </w:r>
          </w:p>
        </w:tc>
        <w:tc>
          <w:tcPr>
            <w:vAlign w:val="top"/>
            <w:tcW w:w="1694" w:type="dxa"/>
          </w:tcPr>
          <w:p>
            <w:pPr>
              <w:pStyle w:val=""/>
            </w:pPr>
          </w:p>
        </w:tc>
        <w:tc>
          <w:tcPr>
            <w:vAlign w:val="top"/>
            <w:tcW w:w="1688" w:type="dxa"/>
          </w:tcPr>
          <w:p>
            <w:pPr>
              <w:pStyle w:val=""/>
            </w:pPr>
          </w:p>
        </w:tc>
        <w:tc>
          <w:tcPr>
            <w:vAlign w:val="top"/>
            <w:tcW w:w="1645" w:type="dxa"/>
          </w:tcPr>
          <w:p>
            <w:pPr>
              <w:pStyle w:val=""/>
            </w:pPr>
            <w:r>
              <w:rPr>
                <w:color w:val="000000"/>
                <w:rFonts w:ascii="SimSun" w:hAnsi="SimSun"/>
                <w:sz w:val="24"/>
              </w:rPr>
              <w:t xml:space="preserve"> </w:t>
            </w:r>
          </w:p>
        </w:tc>
      </w:tr>
      <w:tr>
        <w:tc>
          <w:tcPr>
            <w:vAlign w:val="top"/>
            <w:tcW w:w="1783" w:type="dxa"/>
          </w:tcPr>
          <w:p>
            <w:pPr>
              <w:pStyle w:val=""/>
            </w:pPr>
            <w:r>
              <w:rPr>
                <w:color w:val="000000"/>
                <w:rFonts w:ascii="SimSun" w:hAnsi="SimSun"/>
                <w:sz w:val="24"/>
              </w:rPr>
              <w:t>2、非限定性净资产</w:t>
            </w:r>
          </w:p>
        </w:tc>
        <w:tc>
          <w:tcPr>
            <w:vAlign w:val="top"/>
            <w:tcW w:w="1604" w:type="dxa"/>
          </w:tcPr>
          <w:p>
            <w:pPr>
              <w:pStyle w:val=""/>
            </w:pPr>
            <w:r>
              <w:rPr>
                <w:color w:val="000000"/>
                <w:rFonts w:ascii="SimSun" w:hAnsi="SimSun"/>
                <w:sz w:val="24"/>
              </w:rPr>
              <w:t>199,299.66</w:t>
            </w:r>
          </w:p>
        </w:tc>
        <w:tc>
          <w:tcPr>
            <w:vAlign w:val="top"/>
            <w:tcW w:w="1694" w:type="dxa"/>
          </w:tcPr>
          <w:p>
            <w:pPr>
              <w:pStyle w:val=""/>
            </w:pPr>
            <w:r>
              <w:rPr>
                <w:color w:val="000000"/>
                <w:rFonts w:ascii="SimSun" w:hAnsi="SimSun"/>
                <w:sz w:val="24"/>
              </w:rPr>
              <w:t>367,364.48</w:t>
            </w:r>
          </w:p>
        </w:tc>
        <w:tc>
          <w:tcPr>
            <w:vAlign w:val="top"/>
            <w:tcW w:w="1688" w:type="dxa"/>
          </w:tcPr>
          <w:p>
            <w:pPr>
              <w:pStyle w:val=""/>
            </w:pPr>
          </w:p>
        </w:tc>
        <w:tc>
          <w:tcPr>
            <w:vAlign w:val="top"/>
            <w:tcW w:w="1645" w:type="dxa"/>
          </w:tcPr>
          <w:p>
            <w:pPr>
              <w:pStyle w:val=""/>
            </w:pPr>
            <w:r>
              <w:rPr>
                <w:color w:val="000000"/>
                <w:rFonts w:ascii="SimSun" w:hAnsi="SimSun"/>
                <w:sz w:val="24"/>
              </w:rPr>
              <w:t>566,664.14</w:t>
            </w:r>
          </w:p>
        </w:tc>
      </w:tr>
      <w:tr>
        <w:tc>
          <w:tcPr>
            <w:vAlign w:val="top"/>
            <w:tcW w:w="1783" w:type="dxa"/>
          </w:tcPr>
          <w:p>
            <w:pPr>
              <w:pStyle w:val=""/>
            </w:pPr>
            <w:r>
              <w:rPr>
                <w:color w:val="000000"/>
                <w:rFonts w:ascii="SimSun" w:hAnsi="SimSun"/>
                <w:sz w:val="24"/>
              </w:rPr>
              <w:t>合　计</w:t>
            </w:r>
          </w:p>
        </w:tc>
        <w:tc>
          <w:tcPr>
            <w:vAlign w:val="top"/>
            <w:tcW w:w="1604" w:type="dxa"/>
          </w:tcPr>
          <w:p>
            <w:pPr>
              <w:pStyle w:val=""/>
            </w:pPr>
            <w:r>
              <w:rPr>
                <w:color w:val="000000"/>
                <w:rFonts w:ascii="SimSun" w:hAnsi="SimSun"/>
                <w:sz w:val="24"/>
              </w:rPr>
              <w:t>199,299.66</w:t>
            </w:r>
          </w:p>
        </w:tc>
        <w:tc>
          <w:tcPr>
            <w:vAlign w:val="top"/>
            <w:tcW w:w="1694" w:type="dxa"/>
          </w:tcPr>
          <w:p>
            <w:pPr>
              <w:pStyle w:val=""/>
            </w:pPr>
            <w:r>
              <w:rPr>
                <w:color w:val="000000"/>
                <w:rFonts w:ascii="SimSun" w:hAnsi="SimSun"/>
                <w:sz w:val="24"/>
              </w:rPr>
              <w:t>367,364.48</w:t>
            </w:r>
          </w:p>
        </w:tc>
        <w:tc>
          <w:tcPr>
            <w:vAlign w:val="top"/>
            <w:tcW w:w="1688" w:type="dxa"/>
          </w:tcPr>
          <w:p>
            <w:pPr>
              <w:pStyle w:val=""/>
            </w:pPr>
          </w:p>
        </w:tc>
        <w:tc>
          <w:tcPr>
            <w:vAlign w:val="top"/>
            <w:tcW w:w="1645" w:type="dxa"/>
          </w:tcPr>
          <w:p>
            <w:pPr>
              <w:pStyle w:val=""/>
            </w:pPr>
            <w:r>
              <w:rPr>
                <w:color w:val="000000"/>
                <w:rFonts w:ascii="SimSun" w:hAnsi="SimSun"/>
                <w:sz w:val="24"/>
              </w:rPr>
              <w:t>566,664.14</w:t>
            </w:r>
          </w:p>
        </w:tc>
      </w:tr>
    </w:tbl>
    <w:p>
      <w:pPr>
        <w:pStyle w:val=""/>
      </w:pPr>
      <w:r>
        <w:rPr>
          <w:b/>
          <w:rFonts w:ascii="SimSun" w:hAnsi="SimSun"/>
          <w:sz w:val="24"/>
        </w:rPr>
        <w:t xml:space="preserve">3、大额捐赠收入              </w:t>
      </w:r>
    </w:p>
    <w:tbl>
      <w:tblPr>
        <w:jc w:val="center"/>
        <w:tblStyle w:val="普通表格"/>
        <w:tblLook w:val="1E0"/>
        <w:tblW w:w="0" w:type="auto"/>
      </w:tblPr>
      <w:tblGrid>
        <w:gridCol w:w="1364"/>
        <w:gridCol w:w="818"/>
        <w:gridCol w:w="1365"/>
        <w:gridCol w:w="1320"/>
        <w:gridCol w:w="855"/>
        <w:gridCol w:w="1155"/>
        <w:gridCol w:w="1155"/>
        <w:gridCol w:w="382"/>
      </w:tblGrid>
      <w:tr>
        <w:trPr>
          <w:trHeight w:val="397" w:hRule="atLeast"/>
        </w:trPr>
        <w:tc>
          <w:tcPr>
            <w:vAlign w:val="center"/>
            <w:vMerge w:val="restart"/>
            <w:tcW w:w="1364" w:type="dxa"/>
          </w:tcPr>
          <w:p>
            <w:pPr>
              <w:pStyle w:val=""/>
            </w:pPr>
            <w:r>
              <w:rPr>
                <w:u w:val="single"/>
                <w:color w:val="000000"/>
                <w:rFonts w:ascii="SimSun" w:hAnsi="SimSun"/>
                <w:sz w:val="24"/>
              </w:rPr>
              <w:t>捐赠人</w:t>
            </w:r>
          </w:p>
        </w:tc>
        <w:tc>
          <w:tcPr>
            <w:gridSpan w:val="3"/>
            <w:vAlign w:val="center"/>
            <w:tcW w:w="3503" w:type="dxa"/>
          </w:tcPr>
          <w:p>
            <w:pPr>
              <w:pStyle w:val=""/>
            </w:pPr>
            <w:r>
              <w:rPr>
                <w:u w:val="single"/>
                <w:color w:val="000000"/>
                <w:rFonts w:ascii="SimSun" w:hAnsi="SimSun"/>
                <w:sz w:val="24"/>
              </w:rPr>
              <w:t>本年发生额</w:t>
            </w:r>
          </w:p>
        </w:tc>
        <w:tc>
          <w:tcPr>
            <w:gridSpan w:val="3"/>
            <w:vAlign w:val="center"/>
            <w:tcW w:w="3165" w:type="dxa"/>
          </w:tcPr>
          <w:p>
            <w:pPr>
              <w:pStyle w:val=""/>
            </w:pPr>
            <w:r>
              <w:rPr>
                <w:u w:val="single"/>
                <w:color w:val="000000"/>
                <w:rFonts w:ascii="SimSun" w:hAnsi="SimSun"/>
                <w:sz w:val="24"/>
              </w:rPr>
              <w:t>上年发生额</w:t>
            </w:r>
          </w:p>
        </w:tc>
        <w:tc>
          <w:tcPr>
            <w:vAlign w:val="center"/>
            <w:vMerge w:val="restart"/>
            <w:tcW w:w="382" w:type="dxa"/>
          </w:tcPr>
          <w:p>
            <w:pPr>
              <w:pStyle w:val=""/>
            </w:pPr>
            <w:r>
              <w:rPr>
                <w:u w:val="single"/>
                <w:color w:val="000000"/>
                <w:rFonts w:ascii="SimSun" w:hAnsi="SimSun"/>
                <w:sz w:val="24"/>
              </w:rPr>
              <w:t>用途</w:t>
            </w:r>
          </w:p>
        </w:tc>
      </w:tr>
      <w:tr>
        <w:trPr>
          <w:trHeight w:val="397" w:hRule="atLeast"/>
        </w:trPr>
        <w:tc>
          <w:tcPr>
            <w:vMerge/>
          </w:tcPr>
          <w:p/>
        </w:tc>
        <w:tc>
          <w:tcPr>
            <w:vAlign w:val="center"/>
            <w:tcW w:w="818" w:type="dxa"/>
          </w:tcPr>
          <w:p>
            <w:pPr>
              <w:pStyle w:val=""/>
            </w:pPr>
            <w:r>
              <w:rPr>
                <w:u w:val="single"/>
                <w:color w:val="000000"/>
                <w:rFonts w:ascii="SimSun" w:hAnsi="SimSun"/>
                <w:sz w:val="24"/>
              </w:rPr>
              <w:t>限定性</w:t>
            </w:r>
          </w:p>
        </w:tc>
        <w:tc>
          <w:tcPr>
            <w:vAlign w:val="center"/>
            <w:tcW w:w="1365" w:type="dxa"/>
          </w:tcPr>
          <w:p>
            <w:pPr>
              <w:pStyle w:val=""/>
            </w:pPr>
            <w:r>
              <w:rPr>
                <w:u w:val="single"/>
                <w:color w:val="000000"/>
                <w:rFonts w:ascii="SimSun" w:hAnsi="SimSun"/>
                <w:sz w:val="24"/>
              </w:rPr>
              <w:t>非限定性</w:t>
            </w:r>
          </w:p>
        </w:tc>
        <w:tc>
          <w:tcPr>
            <w:vAlign w:val="center"/>
            <w:tcW w:w="1320" w:type="dxa"/>
          </w:tcPr>
          <w:p>
            <w:pPr>
              <w:pStyle w:val=""/>
            </w:pPr>
            <w:r>
              <w:rPr>
                <w:u w:val="single"/>
                <w:color w:val="000000"/>
                <w:rFonts w:ascii="SimSun" w:hAnsi="SimSun"/>
                <w:sz w:val="24"/>
              </w:rPr>
              <w:t>小计</w:t>
            </w:r>
          </w:p>
        </w:tc>
        <w:tc>
          <w:tcPr>
            <w:vAlign w:val="center"/>
            <w:tcW w:w="855" w:type="dxa"/>
          </w:tcPr>
          <w:p>
            <w:pPr>
              <w:pStyle w:val=""/>
            </w:pPr>
            <w:r>
              <w:rPr>
                <w:u w:val="single"/>
                <w:color w:val="000000"/>
                <w:rFonts w:ascii="SimSun" w:hAnsi="SimSun"/>
                <w:sz w:val="24"/>
              </w:rPr>
              <w:t>限定性</w:t>
            </w:r>
          </w:p>
        </w:tc>
        <w:tc>
          <w:tcPr>
            <w:vAlign w:val="center"/>
            <w:tcW w:w="1155" w:type="dxa"/>
          </w:tcPr>
          <w:p>
            <w:pPr>
              <w:pStyle w:val=""/>
            </w:pPr>
            <w:r>
              <w:rPr>
                <w:u w:val="single"/>
                <w:color w:val="000000"/>
                <w:rFonts w:ascii="SimSun" w:hAnsi="SimSun"/>
                <w:sz w:val="24"/>
              </w:rPr>
              <w:t>非限定性</w:t>
            </w:r>
          </w:p>
        </w:tc>
        <w:tc>
          <w:tcPr>
            <w:vAlign w:val="center"/>
            <w:tcW w:w="1155" w:type="dxa"/>
          </w:tcPr>
          <w:p>
            <w:pPr>
              <w:pStyle w:val=""/>
            </w:pPr>
            <w:r>
              <w:rPr>
                <w:u w:val="single"/>
                <w:color w:val="000000"/>
                <w:rFonts w:ascii="SimSun" w:hAnsi="SimSun"/>
                <w:sz w:val="24"/>
              </w:rPr>
              <w:t>小计</w:t>
            </w:r>
          </w:p>
        </w:tc>
        <w:tc>
          <w:tcPr>
            <w:vMerge/>
          </w:tcPr>
          <w:p/>
        </w:tc>
      </w:tr>
      <w:tr>
        <w:trPr>
          <w:trHeight w:val="397" w:hRule="atLeast"/>
        </w:trPr>
        <w:tc>
          <w:tcPr>
            <w:vAlign w:val="center"/>
            <w:tcW w:w="1364" w:type="dxa"/>
          </w:tcPr>
          <w:p>
            <w:pPr>
              <w:pStyle w:val=""/>
            </w:pPr>
            <w:r>
              <w:rPr>
                <w:rFonts w:ascii="SimSun" w:hAnsi="SimSun"/>
                <w:sz w:val="24"/>
              </w:rPr>
              <w:t>美国捐助人</w:t>
            </w:r>
          </w:p>
        </w:tc>
        <w:tc>
          <w:tcPr>
            <w:vAlign w:val="center"/>
            <w:tcW w:w="818" w:type="dxa"/>
          </w:tcPr>
          <w:p>
            <w:pPr>
              <w:pStyle w:val=""/>
            </w:pPr>
          </w:p>
        </w:tc>
        <w:tc>
          <w:tcPr>
            <w:vAlign w:val="center"/>
            <w:tcW w:w="1365" w:type="dxa"/>
          </w:tcPr>
          <w:p>
            <w:pPr>
              <w:pStyle w:val=""/>
            </w:pPr>
          </w:p>
        </w:tc>
        <w:tc>
          <w:tcPr>
            <w:vAlign w:val="center"/>
            <w:tcW w:w="1320" w:type="dxa"/>
          </w:tcPr>
          <w:p>
            <w:pPr>
              <w:pStyle w:val=""/>
            </w:pPr>
          </w:p>
        </w:tc>
        <w:tc>
          <w:tcPr>
            <w:vAlign w:val="center"/>
            <w:tcW w:w="855" w:type="dxa"/>
          </w:tcPr>
          <w:p>
            <w:pPr>
              <w:pStyle w:val=""/>
            </w:pPr>
          </w:p>
        </w:tc>
        <w:tc>
          <w:tcPr>
            <w:vAlign w:val="center"/>
            <w:tcW w:w="1155" w:type="dxa"/>
          </w:tcPr>
          <w:p>
            <w:pPr>
              <w:pStyle w:val=""/>
            </w:pPr>
          </w:p>
        </w:tc>
        <w:tc>
          <w:tcPr>
            <w:vAlign w:val="center"/>
            <w:tcW w:w="1155" w:type="dxa"/>
          </w:tcPr>
          <w:p>
            <w:pPr>
              <w:pStyle w:val=""/>
            </w:pPr>
          </w:p>
        </w:tc>
        <w:tc>
          <w:tcPr>
            <w:vAlign w:val="center"/>
            <w:tcW w:w="382" w:type="dxa"/>
          </w:tcPr>
          <w:p>
            <w:pPr>
              <w:pStyle w:val=""/>
            </w:pPr>
          </w:p>
        </w:tc>
      </w:tr>
      <w:tr>
        <w:trPr>
          <w:trHeight w:val="397" w:hRule="atLeast"/>
        </w:trPr>
        <w:tc>
          <w:tcPr>
            <w:vAlign w:val="center"/>
            <w:tcW w:w="1364" w:type="dxa"/>
          </w:tcPr>
          <w:p>
            <w:pPr>
              <w:pStyle w:val=""/>
            </w:pPr>
            <w:r>
              <w:rPr>
                <w:rFonts w:ascii="SimSun" w:hAnsi="SimSun"/>
                <w:sz w:val="24"/>
              </w:rPr>
              <w:t>其中：捐款</w:t>
            </w:r>
          </w:p>
        </w:tc>
        <w:tc>
          <w:tcPr>
            <w:vAlign w:val="center"/>
            <w:tcW w:w="818" w:type="dxa"/>
          </w:tcPr>
          <w:p>
            <w:pPr>
              <w:pStyle w:val=""/>
            </w:pPr>
          </w:p>
        </w:tc>
        <w:tc>
          <w:tcPr>
            <w:vAlign w:val="center"/>
            <w:tcW w:w="1365" w:type="dxa"/>
          </w:tcPr>
          <w:p>
            <w:pPr>
              <w:pStyle w:val=""/>
            </w:pPr>
            <w:r>
              <w:rPr>
                <w:rFonts w:ascii="SimSun" w:hAnsi="SimSun"/>
                <w:sz w:val="24"/>
              </w:rPr>
              <w:t>1,114,047.24</w:t>
            </w:r>
          </w:p>
        </w:tc>
        <w:tc>
          <w:tcPr>
            <w:vAlign w:val="center"/>
            <w:tcW w:w="1320" w:type="dxa"/>
          </w:tcPr>
          <w:p>
            <w:pPr>
              <w:pStyle w:val=""/>
            </w:pPr>
            <w:r>
              <w:rPr>
                <w:rFonts w:ascii="SimSun" w:hAnsi="SimSun"/>
                <w:sz w:val="24"/>
              </w:rPr>
              <w:t>1,114,047.24</w:t>
            </w:r>
          </w:p>
        </w:tc>
        <w:tc>
          <w:tcPr>
            <w:vAlign w:val="center"/>
            <w:tcW w:w="855" w:type="dxa"/>
          </w:tcPr>
          <w:p>
            <w:pPr>
              <w:pStyle w:val=""/>
            </w:pPr>
          </w:p>
        </w:tc>
        <w:tc>
          <w:tcPr>
            <w:vAlign w:val="center"/>
            <w:tcW w:w="1155" w:type="dxa"/>
          </w:tcPr>
          <w:p>
            <w:pPr>
              <w:pStyle w:val=""/>
            </w:pPr>
            <w:r>
              <w:rPr>
                <w:rFonts w:ascii="SimSun" w:hAnsi="SimSun"/>
                <w:sz w:val="24"/>
              </w:rPr>
              <w:t>543,826.47</w:t>
            </w:r>
          </w:p>
        </w:tc>
        <w:tc>
          <w:tcPr>
            <w:vAlign w:val="center"/>
            <w:tcW w:w="1155" w:type="dxa"/>
          </w:tcPr>
          <w:p>
            <w:pPr>
              <w:pStyle w:val=""/>
            </w:pPr>
            <w:r>
              <w:rPr>
                <w:rFonts w:ascii="SimSun" w:hAnsi="SimSun"/>
                <w:sz w:val="24"/>
              </w:rPr>
              <w:t>543,826.47</w:t>
            </w:r>
          </w:p>
        </w:tc>
        <w:tc>
          <w:tcPr>
            <w:vAlign w:val="center"/>
            <w:tcW w:w="382" w:type="dxa"/>
          </w:tcPr>
          <w:p>
            <w:pPr>
              <w:pStyle w:val=""/>
            </w:pPr>
          </w:p>
        </w:tc>
      </w:tr>
      <w:tr>
        <w:trPr>
          <w:trHeight w:val="397" w:hRule="atLeast"/>
        </w:trPr>
        <w:tc>
          <w:tcPr>
            <w:vAlign w:val="center"/>
            <w:tcW w:w="1364" w:type="dxa"/>
          </w:tcPr>
          <w:p>
            <w:pPr>
              <w:pStyle w:val=""/>
            </w:pPr>
            <w:r>
              <w:rPr>
                <w:rFonts w:ascii="SimSun" w:hAnsi="SimSun"/>
                <w:sz w:val="24"/>
              </w:rPr>
              <w:t xml:space="preserve">     捐物</w:t>
            </w:r>
          </w:p>
        </w:tc>
        <w:tc>
          <w:tcPr>
            <w:vAlign w:val="center"/>
            <w:tcW w:w="818" w:type="dxa"/>
          </w:tcPr>
          <w:p>
            <w:pPr>
              <w:pStyle w:val=""/>
            </w:pPr>
          </w:p>
        </w:tc>
        <w:tc>
          <w:tcPr>
            <w:vAlign w:val="center"/>
            <w:tcW w:w="1365" w:type="dxa"/>
          </w:tcPr>
          <w:p>
            <w:pPr>
              <w:pStyle w:val=""/>
            </w:pPr>
          </w:p>
        </w:tc>
        <w:tc>
          <w:tcPr>
            <w:vAlign w:val="center"/>
            <w:tcW w:w="1320" w:type="dxa"/>
          </w:tcPr>
          <w:p>
            <w:pPr>
              <w:pStyle w:val=""/>
            </w:pPr>
          </w:p>
        </w:tc>
        <w:tc>
          <w:tcPr>
            <w:vAlign w:val="center"/>
            <w:tcW w:w="855" w:type="dxa"/>
          </w:tcPr>
          <w:p>
            <w:pPr>
              <w:pStyle w:val=""/>
            </w:pPr>
          </w:p>
        </w:tc>
        <w:tc>
          <w:tcPr>
            <w:vAlign w:val="center"/>
            <w:tcW w:w="1155" w:type="dxa"/>
          </w:tcPr>
          <w:p>
            <w:pPr>
              <w:pStyle w:val=""/>
            </w:pPr>
          </w:p>
        </w:tc>
        <w:tc>
          <w:tcPr>
            <w:vAlign w:val="center"/>
            <w:tcW w:w="1155" w:type="dxa"/>
          </w:tcPr>
          <w:p>
            <w:pPr>
              <w:pStyle w:val=""/>
            </w:pPr>
          </w:p>
        </w:tc>
        <w:tc>
          <w:tcPr>
            <w:vAlign w:val="center"/>
            <w:tcW w:w="382" w:type="dxa"/>
          </w:tcPr>
          <w:p>
            <w:pPr>
              <w:pStyle w:val=""/>
            </w:pPr>
          </w:p>
        </w:tc>
      </w:tr>
      <w:tr>
        <w:trPr>
          <w:trHeight w:val="397" w:hRule="atLeast"/>
        </w:trPr>
        <w:tc>
          <w:tcPr>
            <w:vAlign w:val="top"/>
            <w:tcW w:w="1364" w:type="dxa"/>
          </w:tcPr>
          <w:p>
            <w:pPr>
              <w:pStyle w:val=""/>
            </w:pPr>
            <w:r>
              <w:rPr>
                <w:rFonts w:ascii="SimSun" w:hAnsi="SimSun"/>
                <w:sz w:val="24"/>
              </w:rPr>
              <w:t>合  计</w:t>
            </w:r>
          </w:p>
        </w:tc>
        <w:tc>
          <w:tcPr>
            <w:vAlign w:val="top"/>
            <w:tcW w:w="818" w:type="dxa"/>
          </w:tcPr>
          <w:p>
            <w:pPr>
              <w:pStyle w:val=""/>
            </w:pPr>
          </w:p>
        </w:tc>
        <w:tc>
          <w:tcPr>
            <w:vAlign w:val="center"/>
            <w:tcW w:w="1365" w:type="dxa"/>
          </w:tcPr>
          <w:p>
            <w:pPr>
              <w:pStyle w:val=""/>
            </w:pPr>
            <w:r>
              <w:rPr>
                <w:rFonts w:ascii="SimSun" w:hAnsi="SimSun"/>
                <w:sz w:val="24"/>
              </w:rPr>
              <w:t>1,114,047.24</w:t>
            </w:r>
          </w:p>
        </w:tc>
        <w:tc>
          <w:tcPr>
            <w:vAlign w:val="center"/>
            <w:tcW w:w="1320" w:type="dxa"/>
          </w:tcPr>
          <w:p>
            <w:pPr>
              <w:pStyle w:val=""/>
            </w:pPr>
            <w:r>
              <w:rPr>
                <w:rFonts w:ascii="SimSun" w:hAnsi="SimSun"/>
                <w:sz w:val="24"/>
              </w:rPr>
              <w:t>1,114,047.24</w:t>
            </w:r>
          </w:p>
        </w:tc>
        <w:tc>
          <w:tcPr>
            <w:vAlign w:val="top"/>
            <w:tcW w:w="855" w:type="dxa"/>
          </w:tcPr>
          <w:p>
            <w:pPr>
              <w:pStyle w:val=""/>
            </w:pPr>
          </w:p>
        </w:tc>
        <w:tc>
          <w:tcPr>
            <w:vAlign w:val="center"/>
            <w:tcW w:w="1155" w:type="dxa"/>
          </w:tcPr>
          <w:p>
            <w:pPr>
              <w:pStyle w:val=""/>
            </w:pPr>
            <w:r>
              <w:rPr>
                <w:rFonts w:ascii="SimSun" w:hAnsi="SimSun"/>
                <w:sz w:val="24"/>
              </w:rPr>
              <w:t>543,826.47</w:t>
            </w:r>
          </w:p>
        </w:tc>
        <w:tc>
          <w:tcPr>
            <w:vAlign w:val="center"/>
            <w:tcW w:w="1155" w:type="dxa"/>
          </w:tcPr>
          <w:p>
            <w:pPr>
              <w:pStyle w:val=""/>
            </w:pPr>
            <w:r>
              <w:rPr>
                <w:rFonts w:ascii="SimSun" w:hAnsi="SimSun"/>
                <w:sz w:val="24"/>
              </w:rPr>
              <w:t>543,826.47</w:t>
            </w:r>
          </w:p>
        </w:tc>
        <w:tc>
          <w:tcPr>
            <w:vAlign w:val="top"/>
            <w:tcW w:w="382" w:type="dxa"/>
          </w:tcPr>
          <w:p>
            <w:pPr>
              <w:pStyle w:val=""/>
            </w:pPr>
          </w:p>
        </w:tc>
      </w:tr>
    </w:tbl>
    <w:p>
      <w:pPr>
        <w:pStyle w:val=""/>
        <w:rPr>
          <w:b/>
          <w:rFonts w:ascii="SimSun" w:hAnsi="SimSun"/>
          <w:sz w:val="24"/>
        </w:rPr>
      </w:pPr>
    </w:p>
    <w:p>
      <w:pPr>
        <w:pStyle w:val=""/>
      </w:pPr>
      <w:r>
        <w:rPr>
          <w:b/>
          <w:rFonts w:ascii="SimSun" w:hAnsi="SimSun"/>
          <w:sz w:val="24"/>
        </w:rPr>
        <w:t>4、业务活动成本</w:t>
      </w:r>
    </w:p>
    <w:tbl>
      <w:tblPr>
        <w:jc w:val="center"/>
        <w:tblStyle w:val="普通表格"/>
        <w:tblLook w:val="1E0"/>
        <w:tblW w:w="0" w:type="auto"/>
      </w:tblPr>
      <w:tblGrid>
        <w:gridCol w:w="3775"/>
        <w:gridCol w:w="2202"/>
        <w:gridCol w:w="2298"/>
      </w:tblGrid>
      <w:tr>
        <w:trPr>
          <w:trHeight w:val="397" w:hRule="atLeast"/>
        </w:trPr>
        <w:tc>
          <w:tcPr>
            <w:vAlign w:val="top"/>
            <w:tcW w:w="3775" w:type="dxa"/>
          </w:tcPr>
          <w:p>
            <w:pPr>
              <w:pStyle w:val=""/>
            </w:pPr>
            <w:r>
              <w:rPr>
                <w:u w:val="single"/>
                <w:color w:val="000000"/>
                <w:rFonts w:ascii="SimSun" w:hAnsi="SimSun"/>
                <w:sz w:val="24"/>
              </w:rPr>
              <w:t>项 目</w:t>
            </w:r>
          </w:p>
        </w:tc>
        <w:tc>
          <w:tcPr>
            <w:vAlign w:val="top"/>
            <w:tcW w:w="2202" w:type="dxa"/>
          </w:tcPr>
          <w:p>
            <w:pPr>
              <w:pStyle w:val=""/>
            </w:pPr>
            <w:r>
              <w:rPr>
                <w:u w:val="single"/>
                <w:color w:val="000000"/>
                <w:rFonts w:ascii="SimSun" w:hAnsi="SimSun"/>
                <w:sz w:val="24"/>
              </w:rPr>
              <w:t>本年发生额</w:t>
            </w:r>
          </w:p>
        </w:tc>
        <w:tc>
          <w:tcPr>
            <w:vAlign w:val="top"/>
            <w:tcW w:w="2298" w:type="dxa"/>
          </w:tcPr>
          <w:p>
            <w:pPr>
              <w:pStyle w:val=""/>
            </w:pPr>
            <w:r>
              <w:rPr>
                <w:u w:val="single"/>
                <w:color w:val="000000"/>
                <w:rFonts w:ascii="SimSun" w:hAnsi="SimSun"/>
                <w:sz w:val="24"/>
              </w:rPr>
              <w:t>上年发生额</w:t>
            </w:r>
          </w:p>
        </w:tc>
      </w:tr>
      <w:tr>
        <w:trPr>
          <w:trHeight w:val="397" w:hRule="atLeast"/>
        </w:trPr>
        <w:tc>
          <w:tcPr>
            <w:vAlign w:val="top"/>
            <w:tcW w:w="3775" w:type="dxa"/>
          </w:tcPr>
          <w:p>
            <w:pPr>
              <w:pStyle w:val=""/>
            </w:pPr>
            <w:r>
              <w:rPr>
                <w:rFonts w:ascii="SimSun" w:hAnsi="SimSun"/>
                <w:sz w:val="24"/>
              </w:rPr>
              <w:t>捐赠项目成本</w:t>
            </w:r>
          </w:p>
        </w:tc>
        <w:tc>
          <w:tcPr>
            <w:vAlign w:val="top"/>
            <w:tcW w:w="2202" w:type="dxa"/>
          </w:tcPr>
          <w:p>
            <w:pPr>
              <w:pStyle w:val=""/>
            </w:pPr>
            <w:r>
              <w:rPr>
                <w:rFonts w:ascii="SimSun" w:hAnsi="SimSun"/>
                <w:sz w:val="24"/>
              </w:rPr>
              <w:t>791,024.10</w:t>
            </w:r>
          </w:p>
        </w:tc>
        <w:tc>
          <w:tcPr>
            <w:vAlign w:val="top"/>
            <w:tcW w:w="2298" w:type="dxa"/>
          </w:tcPr>
          <w:p>
            <w:pPr>
              <w:pStyle w:val=""/>
            </w:pPr>
            <w:r>
              <w:rPr>
                <w:rFonts w:ascii="SimSun" w:hAnsi="SimSun"/>
                <w:sz w:val="24"/>
              </w:rPr>
              <w:t>337,399.35</w:t>
            </w:r>
          </w:p>
        </w:tc>
      </w:tr>
      <w:tr>
        <w:trPr>
          <w:trHeight w:val="397" w:hRule="atLeast"/>
        </w:trPr>
        <w:tc>
          <w:tcPr>
            <w:vAlign w:val="top"/>
            <w:tcW w:w="3775" w:type="dxa"/>
          </w:tcPr>
          <w:p>
            <w:pPr>
              <w:pStyle w:val=""/>
            </w:pPr>
            <w:r>
              <w:rPr>
                <w:rFonts w:ascii="SimSun" w:hAnsi="SimSun"/>
                <w:sz w:val="24"/>
              </w:rPr>
              <w:t>其中：区内捐资助学支出</w:t>
            </w:r>
          </w:p>
        </w:tc>
        <w:tc>
          <w:tcPr>
            <w:vAlign w:val="top"/>
            <w:tcW w:w="2202" w:type="dxa"/>
          </w:tcPr>
          <w:p>
            <w:pPr>
              <w:pStyle w:val=""/>
            </w:pPr>
            <w:r>
              <w:rPr>
                <w:color w:val="000000"/>
                <w:rFonts w:ascii="SimSun" w:hAnsi="SimSun"/>
                <w:sz w:val="24"/>
              </w:rPr>
              <w:t>607,324.10</w:t>
            </w:r>
          </w:p>
        </w:tc>
        <w:tc>
          <w:tcPr>
            <w:vAlign w:val="top"/>
            <w:tcW w:w="2298" w:type="dxa"/>
          </w:tcPr>
          <w:p>
            <w:pPr>
              <w:pStyle w:val=""/>
            </w:pPr>
            <w:r>
              <w:rPr>
                <w:rFonts w:ascii="SimSun" w:hAnsi="SimSun"/>
                <w:sz w:val="24"/>
              </w:rPr>
              <w:t>216,199.35</w:t>
            </w:r>
          </w:p>
        </w:tc>
      </w:tr>
      <w:tr>
        <w:trPr>
          <w:trHeight w:val="397" w:hRule="atLeast"/>
        </w:trPr>
        <w:tc>
          <w:tcPr>
            <w:vAlign w:val="top"/>
            <w:tcW w:w="3775" w:type="dxa"/>
          </w:tcPr>
          <w:p>
            <w:pPr>
              <w:pStyle w:val=""/>
            </w:pPr>
            <w:r>
              <w:rPr>
                <w:rFonts w:ascii="SimSun" w:hAnsi="SimSun"/>
                <w:sz w:val="24"/>
              </w:rPr>
              <w:t>区外捐资助学支出</w:t>
            </w:r>
          </w:p>
        </w:tc>
        <w:tc>
          <w:tcPr>
            <w:vAlign w:val="top"/>
            <w:tcW w:w="2202" w:type="dxa"/>
          </w:tcPr>
          <w:p>
            <w:pPr>
              <w:pStyle w:val=""/>
            </w:pPr>
            <w:r>
              <w:rPr>
                <w:color w:val="000000"/>
                <w:rFonts w:ascii="SimSun" w:hAnsi="SimSun"/>
                <w:sz w:val="24"/>
              </w:rPr>
              <w:t>183,700.00</w:t>
            </w:r>
          </w:p>
        </w:tc>
        <w:tc>
          <w:tcPr>
            <w:vAlign w:val="top"/>
            <w:tcW w:w="2298" w:type="dxa"/>
          </w:tcPr>
          <w:p>
            <w:pPr>
              <w:pStyle w:val=""/>
            </w:pPr>
            <w:r>
              <w:rPr>
                <w:rFonts w:ascii="SimSun" w:hAnsi="SimSun"/>
                <w:sz w:val="24"/>
              </w:rPr>
              <w:t>121,200.00</w:t>
            </w:r>
          </w:p>
        </w:tc>
      </w:tr>
      <w:tr>
        <w:trPr>
          <w:trHeight w:val="397" w:hRule="atLeast"/>
        </w:trPr>
        <w:tc>
          <w:tcPr>
            <w:vAlign w:val="top"/>
            <w:tcW w:w="3775" w:type="dxa"/>
          </w:tcPr>
          <w:p>
            <w:pPr>
              <w:pStyle w:val=""/>
            </w:pPr>
            <w:r>
              <w:rPr>
                <w:rFonts w:ascii="SimSun" w:hAnsi="SimSun"/>
                <w:sz w:val="24"/>
              </w:rPr>
              <w:t>合 计</w:t>
            </w:r>
          </w:p>
        </w:tc>
        <w:tc>
          <w:tcPr>
            <w:vAlign w:val="top"/>
            <w:tcW w:w="2202" w:type="dxa"/>
          </w:tcPr>
          <w:p>
            <w:pPr>
              <w:pStyle w:val=""/>
            </w:pPr>
            <w:r>
              <w:rPr>
                <w:rFonts w:ascii="SimSun" w:hAnsi="SimSun"/>
                <w:sz w:val="24"/>
              </w:rPr>
              <w:t>791,024.10</w:t>
            </w:r>
          </w:p>
        </w:tc>
        <w:tc>
          <w:tcPr>
            <w:vAlign w:val="top"/>
            <w:tcW w:w="2298" w:type="dxa"/>
          </w:tcPr>
          <w:p>
            <w:pPr>
              <w:pStyle w:val=""/>
            </w:pPr>
            <w:r>
              <w:rPr>
                <w:rFonts w:ascii="SimSun" w:hAnsi="SimSun"/>
                <w:sz w:val="24"/>
              </w:rPr>
              <w:t>337,399.35</w:t>
            </w:r>
          </w:p>
        </w:tc>
      </w:tr>
    </w:tbl>
    <w:p>
      <w:pPr>
        <w:pStyle w:val=""/>
        <w:rPr>
          <w:b/>
          <w:rFonts w:ascii="SimSun" w:hAnsi="SimSun"/>
          <w:sz w:val="24"/>
        </w:rPr>
      </w:pPr>
    </w:p>
    <w:p>
      <w:pPr>
        <w:pStyle w:val=""/>
      </w:pPr>
      <w:r>
        <w:rPr>
          <w:b/>
          <w:rFonts w:ascii="SimSun" w:hAnsi="SimSun"/>
          <w:sz w:val="24"/>
        </w:rPr>
        <w:t>5、管理费用</w:t>
      </w:r>
    </w:p>
    <w:tbl>
      <w:tblPr>
        <w:jc w:val="center"/>
        <w:tblStyle w:val="普通表格"/>
        <w:tblLook w:val="1E0"/>
        <w:tblW w:w="0" w:type="auto"/>
      </w:tblPr>
      <w:tblGrid>
        <w:gridCol w:w="3939"/>
        <w:gridCol w:w="2093"/>
        <w:gridCol w:w="1576"/>
      </w:tblGrid>
      <w:tr>
        <w:trPr>
          <w:trHeight w:val="397" w:hRule="atLeast"/>
        </w:trPr>
        <w:tc>
          <w:tcPr>
            <w:vAlign w:val="center"/>
            <w:tcW w:w="3939" w:type="dxa"/>
          </w:tcPr>
          <w:p>
            <w:pPr>
              <w:pStyle w:val=""/>
            </w:pPr>
            <w:r>
              <w:rPr>
                <w:u w:val="single"/>
                <w:color w:val="000000"/>
                <w:rFonts w:ascii="SimSun" w:hAnsi="SimSun"/>
                <w:sz w:val="24"/>
              </w:rPr>
              <w:t>项 目</w:t>
            </w:r>
          </w:p>
        </w:tc>
        <w:tc>
          <w:tcPr>
            <w:vAlign w:val="center"/>
            <w:tcW w:w="2093" w:type="dxa"/>
          </w:tcPr>
          <w:p>
            <w:pPr>
              <w:pStyle w:val=""/>
            </w:pPr>
            <w:r>
              <w:rPr>
                <w:u w:val="single"/>
                <w:color w:val="000000"/>
                <w:rFonts w:ascii="SimSun" w:hAnsi="SimSun"/>
                <w:sz w:val="24"/>
              </w:rPr>
              <w:t>本年发生额</w:t>
            </w:r>
          </w:p>
        </w:tc>
        <w:tc>
          <w:tcPr>
            <w:vAlign w:val="center"/>
            <w:tcW w:w="1576" w:type="dxa"/>
          </w:tcPr>
          <w:p>
            <w:pPr>
              <w:pStyle w:val=""/>
            </w:pPr>
            <w:r>
              <w:rPr>
                <w:u w:val="single"/>
                <w:color w:val="000000"/>
                <w:rFonts w:ascii="SimSun" w:hAnsi="SimSun"/>
                <w:sz w:val="24"/>
              </w:rPr>
              <w:t>上年发生额</w:t>
            </w:r>
          </w:p>
        </w:tc>
      </w:tr>
      <w:tr>
        <w:trPr>
          <w:trHeight w:val="397" w:hRule="atLeast"/>
        </w:trPr>
        <w:tc>
          <w:tcPr>
            <w:vAlign w:val="center"/>
            <w:tcW w:w="3939" w:type="dxa"/>
          </w:tcPr>
          <w:p>
            <w:pPr>
              <w:pStyle w:val=""/>
            </w:pPr>
            <w:r>
              <w:rPr>
                <w:rFonts w:ascii="SimSun" w:hAnsi="SimSun"/>
                <w:sz w:val="24"/>
              </w:rPr>
              <w:t>1．行政管理人员费用</w:t>
            </w:r>
          </w:p>
        </w:tc>
        <w:tc>
          <w:tcPr>
            <w:vAlign w:val="center"/>
            <w:tcW w:w="2093" w:type="dxa"/>
          </w:tcPr>
          <w:p>
            <w:pPr>
              <w:pStyle w:val=""/>
            </w:pPr>
            <w:r>
              <w:rPr>
                <w:rFonts w:ascii="SimSun" w:hAnsi="SimSun"/>
                <w:sz w:val="24"/>
              </w:rPr>
              <w:t>58,992.54</w:t>
            </w:r>
          </w:p>
        </w:tc>
        <w:tc>
          <w:tcPr>
            <w:vAlign w:val="center"/>
            <w:tcW w:w="1576" w:type="dxa"/>
          </w:tcPr>
          <w:p>
            <w:pPr>
              <w:pStyle w:val=""/>
            </w:pPr>
            <w:r>
              <w:rPr>
                <w:rFonts w:ascii="SimSun" w:hAnsi="SimSun"/>
                <w:sz w:val="24"/>
              </w:rPr>
              <w:t>7,000.00</w:t>
            </w:r>
          </w:p>
        </w:tc>
      </w:tr>
      <w:tr>
        <w:trPr>
          <w:trHeight w:val="397" w:hRule="atLeast"/>
        </w:trPr>
        <w:tc>
          <w:tcPr>
            <w:vAlign w:val="center"/>
            <w:tcW w:w="3939" w:type="dxa"/>
          </w:tcPr>
          <w:p>
            <w:pPr>
              <w:pStyle w:val=""/>
            </w:pPr>
            <w:r>
              <w:rPr>
                <w:rFonts w:ascii="SimSun" w:hAnsi="SimSun"/>
                <w:sz w:val="24"/>
              </w:rPr>
              <w:t>2．行政管理事务物品耗费和服务开支</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3．行政管理事务所用资产折旧（摊销）及运行维护费用</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其中：房地产损耗及使用费</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交通费</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无形资产摊销</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其他</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4．资产减值及处置损失</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5．记入管理费用的税费</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其中：房产税</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车船使用税</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土地使用税</w:t>
            </w: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6. 其他</w:t>
            </w:r>
          </w:p>
        </w:tc>
        <w:tc>
          <w:tcPr>
            <w:vAlign w:val="center"/>
            <w:tcW w:w="2093" w:type="dxa"/>
          </w:tcPr>
          <w:p>
            <w:pPr>
              <w:pStyle w:val=""/>
            </w:pPr>
            <w:r>
              <w:rPr>
                <w:rFonts w:ascii="SimSun" w:hAnsi="SimSun"/>
                <w:sz w:val="24"/>
              </w:rPr>
              <w:t>1,288.80</w:t>
            </w:r>
          </w:p>
        </w:tc>
        <w:tc>
          <w:tcPr>
            <w:vAlign w:val="center"/>
            <w:tcW w:w="1576" w:type="dxa"/>
          </w:tcPr>
          <w:p>
            <w:pPr>
              <w:pStyle w:val=""/>
            </w:pPr>
            <w:r>
              <w:rPr>
                <w:rFonts w:ascii="SimSun" w:hAnsi="SimSun"/>
                <w:sz w:val="24"/>
              </w:rPr>
              <w:t>190.80</w:t>
            </w:r>
          </w:p>
        </w:tc>
      </w:tr>
      <w:tr>
        <w:trPr>
          <w:trHeight w:val="397" w:hRule="atLeast"/>
        </w:trPr>
        <w:tc>
          <w:tcPr>
            <w:vAlign w:val="center"/>
            <w:tcW w:w="3939" w:type="dxa"/>
          </w:tcPr>
          <w:p>
            <w:pPr>
              <w:pStyle w:val=""/>
            </w:pPr>
          </w:p>
        </w:tc>
        <w:tc>
          <w:tcPr>
            <w:vAlign w:val="center"/>
            <w:tcW w:w="2093" w:type="dxa"/>
          </w:tcPr>
          <w:p>
            <w:pPr>
              <w:pStyle w:val=""/>
            </w:pPr>
          </w:p>
        </w:tc>
        <w:tc>
          <w:tcPr>
            <w:vAlign w:val="center"/>
            <w:tcW w:w="1576" w:type="dxa"/>
          </w:tcPr>
          <w:p>
            <w:pPr>
              <w:pStyle w:val=""/>
            </w:pPr>
          </w:p>
        </w:tc>
      </w:tr>
      <w:tr>
        <w:trPr>
          <w:trHeight w:val="397" w:hRule="atLeast"/>
        </w:trPr>
        <w:tc>
          <w:tcPr>
            <w:vAlign w:val="center"/>
            <w:tcW w:w="3939" w:type="dxa"/>
          </w:tcPr>
          <w:p>
            <w:pPr>
              <w:pStyle w:val=""/>
            </w:pPr>
            <w:r>
              <w:rPr>
                <w:rFonts w:ascii="SimSun" w:hAnsi="SimSun"/>
                <w:sz w:val="24"/>
              </w:rPr>
              <w:t>合   计</w:t>
            </w:r>
          </w:p>
        </w:tc>
        <w:tc>
          <w:tcPr>
            <w:vAlign w:val="center"/>
            <w:tcW w:w="2093" w:type="dxa"/>
          </w:tcPr>
          <w:p>
            <w:pPr>
              <w:pStyle w:val=""/>
            </w:pPr>
            <w:r>
              <w:rPr>
                <w:rFonts w:ascii="SimSun" w:hAnsi="SimSun"/>
                <w:sz w:val="24"/>
              </w:rPr>
              <w:t>60,281.34</w:t>
            </w:r>
          </w:p>
        </w:tc>
        <w:tc>
          <w:tcPr>
            <w:vAlign w:val="center"/>
            <w:tcW w:w="1576" w:type="dxa"/>
          </w:tcPr>
          <w:p>
            <w:pPr>
              <w:pStyle w:val=""/>
              <w:rPr>
                <w:rFonts w:ascii="SimSun" w:hAnsi="SimSun"/>
                <w:sz w:val="24"/>
              </w:rPr>
            </w:pPr>
            <w:r>
              <w:rPr>
                <w:rFonts w:ascii="SimSun" w:hAnsi="SimSun"/>
                <w:sz w:val="24"/>
              </w:rPr>
              <w:t>7,190.80</w:t>
            </w:r>
          </w:p>
          <w:p>
            <w:pPr>
              <w:pStyle w:val=""/>
            </w:pPr>
          </w:p>
        </w:tc>
      </w:tr>
    </w:tbl>
    <w:p>
      <w:pPr>
        <w:pStyle w:val=""/>
        <w:rPr>
          <w:b/>
          <w:rFonts w:ascii="SimSun" w:hAnsi="SimSun"/>
          <w:sz w:val="24"/>
        </w:rPr>
      </w:pPr>
    </w:p>
    <w:p>
      <w:pPr>
        <w:pStyle w:val=""/>
      </w:pPr>
      <w:r>
        <w:rPr>
          <w:b/>
          <w:color w:val="000000"/>
          <w:rFonts w:ascii="SimSun" w:hAnsi="SimSun"/>
          <w:sz w:val="24"/>
        </w:rPr>
        <w:t>六、理事会成员和职工的数量、变动情况以及获得的薪金等报酬情况的说明</w:t>
      </w:r>
    </w:p>
    <w:p>
      <w:pPr>
        <w:pStyle w:val=""/>
      </w:pPr>
      <w:r>
        <w:rPr>
          <w:color w:val="FF0000"/>
          <w:rFonts w:ascii="SimSun" w:hAnsi="SimSun"/>
          <w:sz w:val="24"/>
        </w:rPr>
        <w:t>1、列示本届理事会成员的姓名、工作单位、在广西代表处领取报酬的理事人数、领取报酬的金额</w:t>
      </w:r>
    </w:p>
    <w:p>
      <w:pPr>
        <w:pStyle w:val=""/>
      </w:pPr>
      <w:r>
        <w:rPr>
          <w:color w:val="FF0000"/>
          <w:rFonts w:ascii="SimSun" w:hAnsi="SimSun"/>
          <w:sz w:val="24"/>
        </w:rPr>
        <w:t>董事会成员：贝蒂·卡茨 （董事长），埃里克·张 （副董事长），麦小敏 （财务会计），杰西卡·曼斯菲尔德 （秘书），杰尔·希尔 （董事会成员），刘杰峰 （董事会成员和中国总代表）， 多萝西·威尔士 （董事会成员）。这些董事会成员都是退休人员或自由职业者，没有任何一位董事会成员领取工作报酬。</w:t>
      </w:r>
    </w:p>
    <w:p>
      <w:pPr>
        <w:pStyle w:val=""/>
      </w:pPr>
      <w:r>
        <w:rPr>
          <w:color w:val="FF0000"/>
          <w:rFonts w:ascii="SimSun" w:hAnsi="SimSun"/>
          <w:sz w:val="24"/>
        </w:rPr>
        <w:t xml:space="preserve">    2、列示广西代表处职工总数（不含支付劳务费人数）、各部门职工数量、工资总额、人均工资（不含支付的劳务费）</w:t>
      </w:r>
    </w:p>
    <w:p>
      <w:pPr>
        <w:pStyle w:val=""/>
        <w:rPr>
          <w:color w:val="FF0000"/>
          <w:rFonts w:ascii="SimSun" w:hAnsi="SimSun"/>
          <w:sz w:val="24"/>
        </w:rPr>
      </w:pPr>
      <w:r>
        <w:rPr>
          <w:color w:val="FF0000"/>
          <w:rFonts w:ascii="SimSun" w:hAnsi="SimSun"/>
          <w:sz w:val="24"/>
        </w:rPr>
        <w:t>美国</w:t>
      </w:r>
      <w:r>
        <w:rPr>
          <w:color w:val="FF0000"/>
          <w:rFonts w:ascii="SimSun" w:hAnsi="SimSun"/>
          <w:sz w:val="24"/>
        </w:rPr>
        <w:t>祝福之手广西代表处自2</w:t>
      </w:r>
      <w:r>
        <w:rPr>
          <w:color w:val="FF0000"/>
          <w:rFonts w:ascii="SimSun" w:hAnsi="SimSun"/>
          <w:sz w:val="24"/>
        </w:rPr>
        <w:t>018年</w:t>
      </w:r>
      <w:r>
        <w:rPr>
          <w:color w:val="FF0000"/>
          <w:rFonts w:ascii="SimSun" w:hAnsi="SimSun"/>
          <w:sz w:val="24"/>
        </w:rPr>
        <w:t>5月1日起，正式聘用专职工作人员1名</w:t>
      </w:r>
      <w:r>
        <w:rPr>
          <w:color w:val="FF0000"/>
          <w:rFonts w:ascii="SimSun" w:hAnsi="SimSun"/>
          <w:sz w:val="24"/>
        </w:rPr>
        <w:t>，主要办理广西代表处的相关事宜。专职人员工资为每月</w:t>
      </w:r>
      <w:r>
        <w:rPr>
          <w:color w:val="FF0000"/>
          <w:rFonts w:ascii="SimSun" w:hAnsi="SimSun"/>
          <w:sz w:val="24"/>
        </w:rPr>
        <w:t>4700元</w:t>
      </w:r>
      <w:r>
        <w:rPr>
          <w:color w:val="FF0000"/>
          <w:rFonts w:ascii="SimSun" w:hAnsi="SimSun"/>
          <w:sz w:val="24"/>
        </w:rPr>
        <w:t>，试用期工资为4</w:t>
      </w:r>
      <w:r>
        <w:rPr>
          <w:color w:val="FF0000"/>
          <w:rFonts w:ascii="SimSun" w:hAnsi="SimSun"/>
          <w:sz w:val="24"/>
        </w:rPr>
        <w:t>000元</w:t>
      </w:r>
      <w:r>
        <w:rPr>
          <w:color w:val="FF0000"/>
          <w:rFonts w:ascii="SimSun" w:hAnsi="SimSun"/>
          <w:sz w:val="24"/>
        </w:rPr>
        <w:t>，</w:t>
      </w:r>
      <w:r>
        <w:rPr>
          <w:color w:val="FF0000"/>
          <w:rFonts w:ascii="SimSun" w:hAnsi="SimSun"/>
          <w:sz w:val="24"/>
        </w:rPr>
        <w:t>试用期时长三个月</w:t>
      </w:r>
      <w:r>
        <w:rPr>
          <w:color w:val="FF0000"/>
          <w:rFonts w:ascii="SimSun" w:hAnsi="SimSun"/>
          <w:sz w:val="24"/>
        </w:rPr>
        <w:t>。广西代表处</w:t>
      </w:r>
      <w:r>
        <w:rPr>
          <w:color w:val="FF0000"/>
          <w:rFonts w:ascii="SimSun" w:hAnsi="SimSun"/>
          <w:sz w:val="24"/>
        </w:rPr>
        <w:t>另</w:t>
      </w:r>
      <w:r>
        <w:rPr>
          <w:color w:val="FF0000"/>
          <w:rFonts w:ascii="SimSun" w:hAnsi="SimSun"/>
          <w:sz w:val="24"/>
        </w:rPr>
        <w:t>有两位</w:t>
      </w:r>
      <w:r>
        <w:rPr>
          <w:color w:val="FF0000"/>
          <w:rFonts w:ascii="SimSun" w:hAnsi="SimSun"/>
          <w:sz w:val="24"/>
        </w:rPr>
        <w:t>按工时付费的志愿</w:t>
      </w:r>
      <w:r>
        <w:rPr>
          <w:color w:val="FF0000"/>
          <w:rFonts w:ascii="SimSun" w:hAnsi="SimSun"/>
          <w:sz w:val="24"/>
        </w:rPr>
        <w:t>工作者，一位帮助电脑录入和更新受助学生的各项资料，每小时薪酬为12元人民币，还有一位是具体负责银行转账和分发助学金和收集学生资料、翻译等工作的志愿者，薪酬为每月1000</w:t>
      </w:r>
      <w:r>
        <w:rPr>
          <w:color w:val="FF0000"/>
          <w:rFonts w:ascii="SimSun" w:hAnsi="SimSun"/>
          <w:sz w:val="24"/>
        </w:rPr>
        <w:t>元人民币。这两</w:t>
      </w:r>
      <w:r>
        <w:rPr>
          <w:color w:val="FF0000"/>
          <w:rFonts w:ascii="SimSun" w:hAnsi="SimSun"/>
          <w:sz w:val="24"/>
        </w:rPr>
        <w:t>位志愿者不是固定聘请的工作人员，而是按工作小时付费的志愿者。</w:t>
      </w:r>
      <w:r>
        <w:rPr>
          <w:color w:val="FF0000"/>
          <w:rFonts w:ascii="SimSun" w:hAnsi="SimSun"/>
          <w:sz w:val="24"/>
        </w:rPr>
        <w:t>其他负责发放资助金，并为祝福之手反馈学生情况的各学校老师均为志愿者，</w:t>
      </w:r>
      <w:r>
        <w:rPr>
          <w:color w:val="FF0000"/>
          <w:rFonts w:ascii="SimSun" w:hAnsi="SimSun"/>
          <w:sz w:val="24"/>
        </w:rPr>
        <w:t>不领取</w:t>
      </w:r>
      <w:r>
        <w:rPr>
          <w:color w:val="FF0000"/>
          <w:rFonts w:ascii="SimSun" w:hAnsi="SimSun"/>
          <w:sz w:val="24"/>
        </w:rPr>
        <w:t>工资薪酬。</w:t>
      </w:r>
    </w:p>
    <w:p>
      <w:pPr>
        <w:pStyle w:val=""/>
      </w:pPr>
      <w:r>
        <w:rPr>
          <w:b/>
          <w:color w:val="000000"/>
          <w:rFonts w:ascii="SimSun" w:hAnsi="SimSun"/>
          <w:sz w:val="24"/>
        </w:rPr>
        <w:t>七、在计算公益事业支出比例、工作人员工资福利和行政办公支出比例时需要具体说明的事项</w:t>
      </w:r>
    </w:p>
    <w:p>
      <w:pPr>
        <w:pStyle w:val=""/>
      </w:pPr>
      <w:r>
        <w:rPr>
          <w:color w:val="000000"/>
          <w:rFonts w:ascii="SimSun" w:hAnsi="SimSun"/>
          <w:sz w:val="24"/>
        </w:rPr>
        <w:t>在计算公益事业支出比例时需要说明的事项：无</w:t>
      </w:r>
    </w:p>
    <w:p>
      <w:pPr>
        <w:pStyle w:val=""/>
      </w:pPr>
      <w:r>
        <w:rPr>
          <w:color w:val="000000"/>
          <w:rFonts w:ascii="SimSun" w:hAnsi="SimSun"/>
          <w:sz w:val="24"/>
        </w:rPr>
        <w:t>在计算工作人员工资福利和行政办公支出比例时需要说明的事项：无</w:t>
      </w:r>
    </w:p>
    <w:p>
      <w:pPr>
        <w:pStyle w:val=""/>
        <w:rPr>
          <w:color w:val="000000"/>
          <w:rFonts w:ascii="SimSun" w:hAnsi="SimSun"/>
          <w:sz w:val="24"/>
        </w:rPr>
      </w:pPr>
    </w:p>
    <w:p>
      <w:pPr>
        <w:pStyle w:val=""/>
      </w:pPr>
      <w:r>
        <w:rPr>
          <w:b/>
          <w:color w:val="000000"/>
          <w:rFonts w:ascii="SimSun" w:hAnsi="SimSun"/>
          <w:sz w:val="24"/>
        </w:rPr>
        <w:t>八、重大公益项目</w:t>
      </w:r>
    </w:p>
    <w:p>
      <w:pPr>
        <w:pStyle w:val=""/>
      </w:pPr>
      <w:r>
        <w:rPr>
          <w:color w:val="000000"/>
          <w:rFonts w:ascii="SimSun" w:hAnsi="SimSun"/>
          <w:sz w:val="24"/>
        </w:rPr>
        <w:t>重大公益项目大额支付对象</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W w:w="0" w:type="auto"/>
      </w:tblPr>
      <w:tblGrid>
        <w:gridCol w:w="2002"/>
        <w:gridCol w:w="2430"/>
        <w:gridCol w:w="1841"/>
        <w:gridCol w:w="1440"/>
        <w:gridCol w:w="1871"/>
      </w:tblGrid>
      <w:tr>
        <w:trPr>
          <w:trHeight w:val="379" w:hRule="atLeast"/>
        </w:trPr>
        <w:tc>
          <w:tcPr>
            <w:vAlign w:val="center"/>
            <w:tcW w:w="2002" w:type="dxa"/>
          </w:tcPr>
          <w:p>
            <w:pPr>
              <w:pStyle w:val=""/>
            </w:pPr>
            <w:r>
              <w:rPr>
                <w:b/>
                <w:color w:val="000000"/>
                <w:rFonts w:ascii="SimSun" w:hAnsi="SimSun"/>
                <w:sz w:val="24"/>
              </w:rPr>
              <w:t>项目名称</w:t>
            </w:r>
          </w:p>
        </w:tc>
        <w:tc>
          <w:tcPr>
            <w:vAlign w:val="center"/>
            <w:tcW w:w="2430" w:type="dxa"/>
          </w:tcPr>
          <w:p>
            <w:pPr>
              <w:pStyle w:val=""/>
            </w:pPr>
            <w:r>
              <w:rPr>
                <w:b/>
                <w:color w:val="000000"/>
                <w:rFonts w:ascii="SimSun" w:hAnsi="SimSun"/>
                <w:sz w:val="24"/>
              </w:rPr>
              <w:t>大额支付对象</w:t>
            </w:r>
          </w:p>
        </w:tc>
        <w:tc>
          <w:tcPr>
            <w:vAlign w:val="center"/>
            <w:tcW w:w="1841" w:type="dxa"/>
          </w:tcPr>
          <w:p>
            <w:pPr>
              <w:pStyle w:val=""/>
            </w:pPr>
            <w:r>
              <w:rPr>
                <w:b/>
                <w:color w:val="000000"/>
                <w:rFonts w:ascii="SimSun" w:hAnsi="SimSun"/>
                <w:sz w:val="24"/>
              </w:rPr>
              <w:t>支付金额</w:t>
            </w:r>
          </w:p>
        </w:tc>
        <w:tc>
          <w:tcPr>
            <w:vAlign w:val="center"/>
            <w:tcW w:w="1440" w:type="dxa"/>
          </w:tcPr>
          <w:p>
            <w:pPr>
              <w:pStyle w:val=""/>
            </w:pPr>
            <w:r>
              <w:rPr>
                <w:b/>
                <w:color w:val="000000"/>
                <w:rFonts w:ascii="SimSun" w:hAnsi="SimSun"/>
                <w:sz w:val="24"/>
              </w:rPr>
              <w:t>占年度公益总支出比例</w:t>
            </w:r>
          </w:p>
        </w:tc>
        <w:tc>
          <w:tcPr>
            <w:vAlign w:val="center"/>
            <w:tcW w:w="1871" w:type="dxa"/>
          </w:tcPr>
          <w:p>
            <w:pPr>
              <w:pStyle w:val=""/>
            </w:pPr>
            <w:r>
              <w:rPr>
                <w:b/>
                <w:color w:val="000000"/>
                <w:rFonts w:ascii="SimSun" w:hAnsi="SimSun"/>
                <w:sz w:val="24"/>
              </w:rPr>
              <w:t>用途</w:t>
            </w:r>
          </w:p>
        </w:tc>
      </w:tr>
      <w:tr>
        <w:trPr>
          <w:trHeight w:val="379" w:hRule="atLeast"/>
        </w:trPr>
        <w:tc>
          <w:tcPr>
            <w:vAlign w:val="center"/>
            <w:tcW w:w="2002" w:type="dxa"/>
          </w:tcPr>
          <w:p>
            <w:pPr>
              <w:pStyle w:val=""/>
            </w:pPr>
            <w:r>
              <w:rPr>
                <w:color w:val="000000"/>
                <w:sz w:val="24"/>
              </w:rPr>
              <w:t>广西壮族自治区钦州项目</w:t>
            </w:r>
          </w:p>
        </w:tc>
        <w:tc>
          <w:tcPr>
            <w:vAlign w:val="center"/>
            <w:tcW w:w="2430" w:type="dxa"/>
          </w:tcPr>
          <w:p>
            <w:pPr>
              <w:pStyle w:val=""/>
            </w:pPr>
            <w:r>
              <w:rPr>
                <w:color w:val="000000"/>
                <w:sz w:val="24"/>
              </w:rPr>
              <w:t>11所学校的</w:t>
            </w:r>
            <w:r>
              <w:rPr>
                <w:color w:val="000000"/>
                <w:sz w:val="24"/>
              </w:rPr>
              <w:t>1</w:t>
            </w:r>
            <w:r>
              <w:rPr>
                <w:color w:val="000000"/>
                <w:sz w:val="24"/>
              </w:rPr>
              <w:t>60名钦州学生</w:t>
            </w:r>
          </w:p>
        </w:tc>
        <w:tc>
          <w:tcPr>
            <w:vAlign w:val="center"/>
            <w:tcW w:w="1841" w:type="dxa"/>
          </w:tcPr>
          <w:p>
            <w:pPr>
              <w:pStyle w:val=""/>
            </w:pPr>
            <w:r>
              <w:rPr>
                <w:color w:val="000000"/>
                <w:sz w:val="24"/>
              </w:rPr>
              <w:t>2</w:t>
            </w:r>
            <w:r>
              <w:rPr>
                <w:color w:val="000000"/>
                <w:sz w:val="24"/>
              </w:rPr>
              <w:t>18, 572. 3</w:t>
            </w:r>
            <w:r>
              <w:rPr>
                <w:color w:val="000000"/>
                <w:sz w:val="24"/>
              </w:rPr>
              <w:t>0</w:t>
            </w:r>
            <w:r>
              <w:rPr>
                <w:color w:val="000000"/>
                <w:sz w:val="24"/>
              </w:rPr>
              <w:t>元</w:t>
            </w:r>
          </w:p>
        </w:tc>
        <w:tc>
          <w:tcPr>
            <w:vAlign w:val="center"/>
            <w:tcW w:w="1440" w:type="dxa"/>
          </w:tcPr>
          <w:p>
            <w:pPr>
              <w:pStyle w:val=""/>
            </w:pPr>
            <w:r>
              <w:rPr>
                <w:color w:val="000000"/>
                <w:sz w:val="24"/>
              </w:rPr>
              <w:t>27.63%</w:t>
            </w:r>
          </w:p>
        </w:tc>
        <w:tc>
          <w:tcPr>
            <w:vAlign w:val="center"/>
            <w:tcW w:w="1871" w:type="dxa"/>
          </w:tcPr>
          <w:p>
            <w:pPr>
              <w:pStyle w:val=""/>
            </w:pPr>
            <w:r>
              <w:rPr>
                <w:color w:val="000000"/>
                <w:sz w:val="24"/>
              </w:rPr>
              <w:t>教育资助</w:t>
            </w:r>
          </w:p>
        </w:tc>
      </w:tr>
      <w:tr>
        <w:trPr>
          <w:trHeight w:val="379" w:hRule="atLeast"/>
        </w:trPr>
        <w:tc>
          <w:tcPr>
            <w:vAlign w:val="center"/>
            <w:tcW w:w="2002" w:type="dxa"/>
          </w:tcPr>
          <w:p>
            <w:pPr>
              <w:pStyle w:val=""/>
            </w:pPr>
            <w:r>
              <w:rPr>
                <w:color w:val="000000"/>
                <w:sz w:val="24"/>
              </w:rPr>
              <w:t>广西省大学生资助项目</w:t>
            </w:r>
          </w:p>
        </w:tc>
        <w:tc>
          <w:tcPr>
            <w:vAlign w:val="center"/>
            <w:tcW w:w="2430" w:type="dxa"/>
          </w:tcPr>
          <w:p>
            <w:pPr>
              <w:pStyle w:val=""/>
            </w:pPr>
            <w:r>
              <w:rPr>
                <w:color w:val="000000"/>
                <w:sz w:val="24"/>
              </w:rPr>
              <w:t>广西省内3</w:t>
            </w:r>
            <w:r>
              <w:rPr>
                <w:color w:val="000000"/>
                <w:sz w:val="24"/>
              </w:rPr>
              <w:t>4名大学生</w:t>
            </w:r>
          </w:p>
        </w:tc>
        <w:tc>
          <w:tcPr>
            <w:vAlign w:val="center"/>
            <w:tcW w:w="1841" w:type="dxa"/>
          </w:tcPr>
          <w:p>
            <w:pPr>
              <w:pStyle w:val=""/>
            </w:pPr>
            <w:r>
              <w:rPr>
                <w:color w:val="000000"/>
                <w:sz w:val="24"/>
              </w:rPr>
              <w:t>1</w:t>
            </w:r>
            <w:r>
              <w:rPr>
                <w:color w:val="000000"/>
                <w:sz w:val="24"/>
              </w:rPr>
              <w:t>41, 551. 8</w:t>
            </w:r>
            <w:r>
              <w:rPr>
                <w:color w:val="000000"/>
                <w:sz w:val="24"/>
              </w:rPr>
              <w:t>0</w:t>
            </w:r>
            <w:r>
              <w:rPr>
                <w:color w:val="000000"/>
                <w:sz w:val="24"/>
              </w:rPr>
              <w:t>元</w:t>
            </w:r>
          </w:p>
        </w:tc>
        <w:tc>
          <w:tcPr>
            <w:vAlign w:val="center"/>
            <w:tcW w:w="1440" w:type="dxa"/>
          </w:tcPr>
          <w:p>
            <w:pPr>
              <w:pStyle w:val=""/>
            </w:pPr>
            <w:r>
              <w:rPr>
                <w:color w:val="000000"/>
                <w:sz w:val="24"/>
              </w:rPr>
              <w:t>17.90%</w:t>
            </w:r>
          </w:p>
        </w:tc>
        <w:tc>
          <w:tcPr>
            <w:vAlign w:val="center"/>
            <w:tcW w:w="1871" w:type="dxa"/>
          </w:tcPr>
          <w:p>
            <w:pPr>
              <w:pStyle w:val=""/>
            </w:pPr>
            <w:r>
              <w:rPr>
                <w:color w:val="000000"/>
                <w:sz w:val="24"/>
              </w:rPr>
              <w:t>教育资助</w:t>
            </w:r>
          </w:p>
        </w:tc>
      </w:tr>
      <w:tr>
        <w:trPr>
          <w:trHeight w:val="123" w:hRule="atLeast"/>
        </w:trPr>
        <w:tc>
          <w:tcPr>
            <w:vAlign w:val="center"/>
            <w:tcW w:w="2002" w:type="dxa"/>
          </w:tcPr>
          <w:p>
            <w:pPr>
              <w:pStyle w:val=""/>
            </w:pPr>
          </w:p>
        </w:tc>
        <w:tc>
          <w:tcPr>
            <w:vAlign w:val="center"/>
            <w:tcW w:w="2430" w:type="dxa"/>
          </w:tcPr>
          <w:p>
            <w:pPr>
              <w:pStyle w:val=""/>
            </w:pPr>
          </w:p>
        </w:tc>
        <w:tc>
          <w:tcPr>
            <w:vAlign w:val="center"/>
            <w:tcW w:w="1841" w:type="dxa"/>
          </w:tcPr>
          <w:p>
            <w:pPr>
              <w:pStyle w:val=""/>
            </w:pPr>
          </w:p>
        </w:tc>
        <w:tc>
          <w:tcPr>
            <w:vAlign w:val="center"/>
            <w:tcW w:w="1440" w:type="dxa"/>
          </w:tcPr>
          <w:p>
            <w:pPr>
              <w:pStyle w:val=""/>
            </w:pPr>
          </w:p>
        </w:tc>
        <w:tc>
          <w:tcPr>
            <w:vAlign w:val="center"/>
            <w:tcW w:w="1871" w:type="dxa"/>
          </w:tcPr>
          <w:p>
            <w:pPr>
              <w:pStyle w:val=""/>
            </w:pPr>
          </w:p>
        </w:tc>
      </w:tr>
      <w:tr>
        <w:trPr>
          <w:trHeight w:val="282" w:hRule="atLeast"/>
        </w:trPr>
        <w:tc>
          <w:tcPr>
            <w:vAlign w:val="center"/>
            <w:tcW w:w="2002" w:type="dxa"/>
          </w:tcPr>
          <w:p>
            <w:pPr>
              <w:pStyle w:val=""/>
            </w:pPr>
            <w:r>
              <w:rPr>
                <w:color w:val="000000"/>
                <w:rFonts w:ascii="SimSun" w:hAnsi="SimSun"/>
                <w:sz w:val="24"/>
              </w:rPr>
              <w:t>合    计</w:t>
            </w:r>
          </w:p>
        </w:tc>
        <w:tc>
          <w:tcPr>
            <w:vAlign w:val="top"/>
            <w:tcW w:w="2430" w:type="dxa"/>
          </w:tcPr>
          <w:p>
            <w:pPr>
              <w:pStyle w:val=""/>
            </w:pPr>
          </w:p>
        </w:tc>
        <w:tc>
          <w:tcPr>
            <w:vAlign w:val="top"/>
            <w:tcW w:w="1841" w:type="dxa"/>
          </w:tcPr>
          <w:p>
            <w:pPr>
              <w:pStyle w:val=""/>
            </w:pPr>
            <w:r>
              <w:rPr>
                <w:color w:val="000000"/>
                <w:rFonts w:ascii="SimSun" w:hAnsi="SimSun"/>
                <w:sz w:val="24"/>
              </w:rPr>
              <w:t>360,124.10元</w:t>
            </w:r>
          </w:p>
        </w:tc>
        <w:tc>
          <w:tcPr>
            <w:vAlign w:val="center"/>
            <w:tcW w:w="1440" w:type="dxa"/>
          </w:tcPr>
          <w:p>
            <w:pPr>
              <w:pStyle w:val=""/>
            </w:pPr>
            <w:r>
              <w:rPr>
                <w:color w:val="000000"/>
                <w:sz w:val="24"/>
              </w:rPr>
              <w:t>45.53</w:t>
            </w:r>
            <w:r>
              <w:rPr>
                <w:color w:val="000000"/>
                <w:sz w:val="24"/>
              </w:rPr>
              <w:t>%</w:t>
            </w:r>
          </w:p>
        </w:tc>
        <w:tc>
          <w:tcPr>
            <w:vAlign w:val="center"/>
            <w:tcW w:w="1871" w:type="dxa"/>
          </w:tcPr>
          <w:p>
            <w:pPr>
              <w:pStyle w:val=""/>
            </w:pPr>
          </w:p>
        </w:tc>
      </w:tr>
    </w:tbl>
    <w:p>
      <w:pPr>
        <w:pStyle w:val=""/>
        <w:rPr>
          <w:color w:val="000000"/>
          <w:rFonts w:ascii="SimSun" w:hAnsi="SimSun"/>
          <w:sz w:val="24"/>
        </w:rPr>
      </w:pPr>
    </w:p>
    <w:p>
      <w:pPr>
        <w:pStyle w:val=""/>
        <w:rPr>
          <w:b/>
          <w:color w:val="000000"/>
          <w:rFonts w:ascii="SimSun" w:hAnsi="SimSun"/>
          <w:sz w:val="24"/>
        </w:rPr>
      </w:pPr>
    </w:p>
    <w:p>
      <w:pPr>
        <w:pStyle w:val=""/>
        <w:rPr>
          <w:b/>
          <w:color w:val="000000"/>
          <w:rFonts w:ascii="SimSun" w:hAnsi="SimSun"/>
          <w:sz w:val="24"/>
        </w:rPr>
      </w:pPr>
    </w:p>
    <w:p>
      <w:pPr>
        <w:pStyle w:val=""/>
        <w:rPr>
          <w:b/>
          <w:color w:val="000000"/>
          <w:rFonts w:ascii="SimSun" w:hAnsi="SimSun"/>
          <w:sz w:val="24"/>
        </w:rPr>
      </w:pPr>
    </w:p>
    <w:p>
      <w:pPr>
        <w:pStyle w:val=""/>
      </w:pPr>
      <w:r>
        <w:rPr>
          <w:b/>
          <w:color w:val="000000"/>
          <w:rFonts w:ascii="SimSun" w:hAnsi="SimSun"/>
          <w:sz w:val="24"/>
        </w:rPr>
        <w:t>十、关联方关系及其交易的说明</w:t>
      </w:r>
    </w:p>
    <w:p>
      <w:pPr>
        <w:pStyle w:val=""/>
        <w:rPr>
          <w:b/>
          <w:color w:val="000000"/>
          <w:rFonts w:ascii="SimSun" w:hAnsi="SimSun"/>
          <w:sz w:val="24"/>
        </w:rPr>
      </w:pPr>
      <w:r>
        <w:rPr>
          <w:color w:val="000000"/>
          <w:rFonts w:ascii="SimSun" w:hAnsi="SimSun"/>
          <w:sz w:val="24"/>
        </w:rPr>
        <w:t>广西代表处无关联方关系。</w:t>
      </w:r>
    </w:p>
    <w:p>
      <w:pPr>
        <w:pStyle w:val=""/>
      </w:pPr>
      <w:r>
        <w:rPr>
          <w:b/>
          <w:color w:val="000000"/>
          <w:rFonts w:ascii="SimSun" w:hAnsi="SimSun"/>
          <w:sz w:val="24"/>
        </w:rPr>
        <w:t>十一、资产提供者设置了时间或用途限制的相关资产情况的说明</w:t>
      </w:r>
    </w:p>
    <w:p>
      <w:pPr>
        <w:pStyle w:val=""/>
      </w:pPr>
      <w:r>
        <w:rPr>
          <w:color w:val="000000"/>
          <w:rFonts w:ascii="SimSun" w:hAnsi="SimSun"/>
          <w:sz w:val="24"/>
        </w:rPr>
        <w:t>广西代表处无资产提供者设置了时间或用途限制的相关资产。</w:t>
      </w:r>
    </w:p>
    <w:p>
      <w:pPr>
        <w:pStyle w:val=""/>
      </w:pPr>
      <w:r>
        <w:rPr>
          <w:b/>
          <w:color w:val="000000"/>
          <w:rFonts w:ascii="SimSun" w:hAnsi="SimSun"/>
          <w:sz w:val="24"/>
        </w:rPr>
        <w:t>十二、受托代理业务情况的说明</w:t>
      </w:r>
    </w:p>
    <w:p>
      <w:pPr>
        <w:pStyle w:val=""/>
      </w:pPr>
      <w:r>
        <w:rPr>
          <w:color w:val="000000"/>
          <w:rFonts w:ascii="SimSun" w:hAnsi="SimSun"/>
          <w:sz w:val="24"/>
        </w:rPr>
        <w:t>广西代表处无受托代理业务。</w:t>
      </w:r>
    </w:p>
    <w:p>
      <w:pPr>
        <w:pStyle w:val=""/>
      </w:pPr>
      <w:r>
        <w:rPr>
          <w:b/>
          <w:color w:val="000000"/>
          <w:rFonts w:ascii="SimSun" w:hAnsi="SimSun"/>
          <w:sz w:val="24"/>
        </w:rPr>
        <w:t>十三、重大资产减值情况的说明</w:t>
      </w:r>
    </w:p>
    <w:p>
      <w:pPr>
        <w:pStyle w:val=""/>
      </w:pPr>
      <w:r>
        <w:rPr>
          <w:color w:val="000000"/>
          <w:rFonts w:ascii="SimSun" w:hAnsi="SimSun"/>
          <w:sz w:val="24"/>
        </w:rPr>
        <w:t>广西代表处无重大资产减值情况。</w:t>
      </w:r>
    </w:p>
    <w:p>
      <w:pPr>
        <w:pStyle w:val=""/>
      </w:pPr>
      <w:r>
        <w:rPr>
          <w:b/>
          <w:color w:val="000000"/>
          <w:rFonts w:ascii="SimSun" w:hAnsi="SimSun"/>
          <w:sz w:val="24"/>
        </w:rPr>
        <w:t>十四、公允价值无法可靠取得的受赠资产和其他资产的说明</w:t>
      </w:r>
    </w:p>
    <w:p>
      <w:pPr>
        <w:pStyle w:val=""/>
      </w:pPr>
      <w:r>
        <w:rPr>
          <w:color w:val="000000"/>
          <w:rFonts w:ascii="SimSun" w:hAnsi="SimSun"/>
          <w:sz w:val="24"/>
        </w:rPr>
        <w:t>广西代表处无公允价值无法可靠取得的受赠资产和其他资产。</w:t>
      </w:r>
    </w:p>
    <w:p>
      <w:pPr>
        <w:pStyle w:val=""/>
      </w:pPr>
      <w:r>
        <w:rPr>
          <w:b/>
          <w:color w:val="000000"/>
          <w:rFonts w:ascii="SimSun" w:hAnsi="SimSun"/>
          <w:sz w:val="24"/>
        </w:rPr>
        <w:t>十五、接受劳务捐赠情况的说明</w:t>
      </w:r>
    </w:p>
    <w:p>
      <w:pPr>
        <w:pStyle w:val=""/>
      </w:pPr>
      <w:r>
        <w:rPr>
          <w:color w:val="000000"/>
          <w:rFonts w:ascii="SimSun" w:hAnsi="SimSun"/>
          <w:sz w:val="24"/>
        </w:rPr>
        <w:t>广西代表处无接受劳务捐赠情况。</w:t>
      </w:r>
    </w:p>
    <w:p>
      <w:pPr>
        <w:pStyle w:val=""/>
      </w:pPr>
      <w:r>
        <w:rPr>
          <w:b/>
          <w:color w:val="000000"/>
          <w:rFonts w:ascii="SimSun" w:hAnsi="SimSun"/>
          <w:sz w:val="24"/>
        </w:rPr>
        <w:t>十六、对外承诺和或有事项情况的说明</w:t>
      </w:r>
    </w:p>
    <w:p>
      <w:pPr>
        <w:pStyle w:val=""/>
      </w:pPr>
      <w:r>
        <w:rPr>
          <w:color w:val="000000"/>
          <w:rFonts w:ascii="SimSun" w:hAnsi="SimSun"/>
          <w:sz w:val="24"/>
        </w:rPr>
        <w:t>广西代表处无对外承诺和或有事项。</w:t>
      </w:r>
    </w:p>
    <w:p>
      <w:pPr>
        <w:pStyle w:val=""/>
      </w:pPr>
      <w:r>
        <w:rPr>
          <w:b/>
          <w:color w:val="000000"/>
          <w:rFonts w:ascii="SimSun" w:hAnsi="SimSun"/>
          <w:sz w:val="24"/>
        </w:rPr>
        <w:t>十七、资产负债表日后非调整事项的说明</w:t>
      </w:r>
    </w:p>
    <w:p>
      <w:pPr>
        <w:pStyle w:val=""/>
      </w:pPr>
      <w:r>
        <w:rPr>
          <w:color w:val="000000"/>
          <w:rFonts w:ascii="SimSun" w:hAnsi="SimSun"/>
          <w:sz w:val="24"/>
        </w:rPr>
        <w:t>广西代表处无资产负债表日后非调整事项。</w:t>
      </w:r>
    </w:p>
    <w:p>
      <w:pPr>
        <w:pStyle w:val=""/>
      </w:pPr>
      <w:r>
        <w:rPr>
          <w:b/>
          <w:color w:val="000000"/>
          <w:rFonts w:ascii="SimSun" w:hAnsi="SimSun"/>
          <w:sz w:val="24"/>
        </w:rPr>
        <w:t>十八、需要说明的其他事项</w:t>
      </w:r>
    </w:p>
    <w:p>
      <w:pPr>
        <w:pStyle w:val=""/>
      </w:pPr>
      <w:r>
        <w:rPr>
          <w:color w:val="000000"/>
          <w:rFonts w:ascii="SimSun" w:hAnsi="SimSun"/>
          <w:sz w:val="24"/>
        </w:rPr>
        <w:t>上述二</w:t>
      </w:r>
      <w:r>
        <w:rPr>
          <w:color w:val="000000"/>
          <w:rFonts w:ascii="SimSun" w:hAnsi="SimSun"/>
          <w:sz w:val="24"/>
        </w:rPr>
        <w:t>〇</w:t>
      </w:r>
      <w:r>
        <w:rPr>
          <w:color w:val="000000"/>
          <w:rFonts w:ascii="SimSun" w:hAnsi="SimSun"/>
          <w:sz w:val="24"/>
        </w:rPr>
        <w:t>一八年度会计报表和会计报表有关附注，系我们按《民间非营利组织会计制度》编制。</w:t>
      </w:r>
    </w:p>
    <w:p>
      <w:pPr>
        <w:pStyle w:val=""/>
        <w:rPr>
          <w:color w:val="000000"/>
          <w:rFonts w:ascii="SimSun" w:hAnsi="SimSun"/>
          <w:sz w:val="24"/>
        </w:rPr>
      </w:pPr>
    </w:p>
    <w:p>
      <w:pPr>
        <w:pStyle w:val=""/>
        <w:rPr>
          <w:rFonts w:ascii="SimSun" w:hAnsi="SimSun"/>
          <w:sz w:val="24"/>
        </w:rPr>
      </w:pPr>
    </w:p>
    <w:tbl>
      <w:tblPr>
        <w:tblInd w:w="210" w:type="dxa"/>
        <w:tblStyle w:val="普通表格"/>
        <w:tblLook w:val="1E0"/>
        <w:tblW w:w="0" w:type="auto"/>
      </w:tblPr>
      <w:tblGrid>
        <w:gridCol w:w="5040"/>
        <w:gridCol w:w="3465"/>
      </w:tblGrid>
      <w:tr>
        <w:tc>
          <w:tcPr>
            <w:gridSpan w:val="2"/>
            <w:vAlign w:val="top"/>
            <w:tcW w:w="8505" w:type="dxa"/>
          </w:tcPr>
          <w:p>
            <w:pPr>
              <w:pStyle w:val=""/>
            </w:pPr>
            <w:r>
              <w:rPr>
                <w:rFonts w:ascii="SimSun" w:hAnsi="SimSun"/>
                <w:sz w:val="24"/>
              </w:rPr>
              <w:t>名称：美国祝福之手广西代表处（盖章）</w:t>
            </w:r>
          </w:p>
        </w:tc>
      </w:tr>
      <w:tr>
        <w:tc>
          <w:tcPr>
            <w:vAlign w:val="top"/>
            <w:tcW w:w="5040" w:type="dxa"/>
          </w:tcPr>
          <w:p>
            <w:pPr>
              <w:pStyle w:val=""/>
            </w:pPr>
          </w:p>
        </w:tc>
        <w:tc>
          <w:tcPr>
            <w:vAlign w:val="top"/>
            <w:tcW w:w="3465" w:type="dxa"/>
          </w:tcPr>
          <w:p>
            <w:pPr>
              <w:pStyle w:val=""/>
            </w:pPr>
          </w:p>
        </w:tc>
      </w:tr>
      <w:tr>
        <w:tc>
          <w:tcPr>
            <w:vAlign w:val="top"/>
            <w:tcW w:w="5040" w:type="dxa"/>
          </w:tcPr>
          <w:p>
            <w:pPr>
              <w:pStyle w:val=""/>
            </w:pPr>
            <w:r>
              <w:rPr>
                <w:rFonts w:ascii="SimSun" w:hAnsi="SimSun"/>
                <w:sz w:val="24"/>
              </w:rPr>
              <w:t>首席代表：（签名）</w:t>
            </w:r>
          </w:p>
        </w:tc>
        <w:tc>
          <w:tcPr>
            <w:vAlign w:val="top"/>
            <w:tcW w:w="3465" w:type="dxa"/>
          </w:tcPr>
          <w:p>
            <w:pPr>
              <w:pStyle w:val=""/>
            </w:pPr>
            <w:r>
              <w:rPr>
                <w:rFonts w:ascii="SimSun" w:hAnsi="SimSun"/>
                <w:sz w:val="24"/>
              </w:rPr>
              <w:t>财务负责人：（签名）</w:t>
            </w:r>
          </w:p>
        </w:tc>
      </w:tr>
      <w:tr>
        <w:tc>
          <w:tcPr>
            <w:vAlign w:val="top"/>
            <w:tcW w:w="5040" w:type="dxa"/>
          </w:tcPr>
          <w:p>
            <w:pPr>
              <w:pStyle w:val=""/>
            </w:pPr>
          </w:p>
        </w:tc>
        <w:tc>
          <w:tcPr>
            <w:vAlign w:val="top"/>
            <w:tcW w:w="3465" w:type="dxa"/>
          </w:tcPr>
          <w:p>
            <w:pPr>
              <w:pStyle w:val=""/>
            </w:pPr>
          </w:p>
        </w:tc>
      </w:tr>
      <w:tr>
        <w:tc>
          <w:tcPr>
            <w:vAlign w:val="top"/>
            <w:tcW w:w="5040" w:type="dxa"/>
          </w:tcPr>
          <w:p>
            <w:pPr>
              <w:pStyle w:val=""/>
            </w:pPr>
            <w:r>
              <w:rPr>
                <w:rFonts w:ascii="SimSun" w:hAnsi="SimSun"/>
                <w:sz w:val="24"/>
              </w:rPr>
              <w:t>日期:20  年   月  日</w:t>
            </w:r>
          </w:p>
        </w:tc>
        <w:tc>
          <w:tcPr>
            <w:vAlign w:val="top"/>
            <w:tcW w:w="3465" w:type="dxa"/>
          </w:tcPr>
          <w:p>
            <w:pPr>
              <w:pStyle w:val=""/>
            </w:pPr>
            <w:r>
              <w:rPr>
                <w:rFonts w:ascii="SimSun" w:hAnsi="SimSun"/>
                <w:sz w:val="24"/>
              </w:rPr>
              <w:t>日期:20   年  月  日</w:t>
            </w:r>
          </w:p>
        </w:tc>
      </w:tr>
    </w:tbl>
    <w:p>
      <w:pPr>
        <w:pStyle w:val=""/>
        <w:rPr>
          <w:rFonts w:ascii="SimSun" w:hAnsi="SimSun"/>
          <w:sz w:val="24"/>
        </w:rPr>
      </w:pPr>
    </w:p>
    <w:p>
      <w:pPr>
        <w:pStyle w:val=""/>
        <w:rPr>
          <w:sz w:val="24"/>
        </w:rPr>
      </w:pPr>
    </w:p>
    <w:sectPr>
      <w:footerReference r:id="rId11" w:type="default"/>
      <w:pgSz w:w="11906" w:h="16838"/>
      <w:pgMar w:left="1800" w:right="1800" w:top="1440" w:bottom="1091"/>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SimSun"/>
  <w:font w:name="Century Schoolbook"/>
  <w:font w:name="Calibri"/>
  <w:font w:name="Courier New"/>
  <w:font w:name="SimHei"/>
  <w:font w:name="Cambria Math"/>
  <w:font w:name="Cambria"/>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p>
  <w:p>
    <w:pPr>
      <w:pStyle w:val=""/>
      <w:ind w:right="360"/>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right="360"/>
    </w:pPr>
  </w:p>
</w:hdr>
</file>

<file path=word/foot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right="360"/>
    </w:pPr>
    <w:r>
      <w:rPr>
        <w:noProof/>
      </w:rPr>
      <w:pict>
        <v:shape type="#_x0000_t202" style="position:absolute;mso-wrap-distance-left:0.000000pt;mso-wrap-distance-right:0.000000pt;mso-wrap-distance-top:0.000000pt;mso-wrap-distance-bottom:0.000000pt;margin-left:0.000000in;margin-top:0.000000in;z-index:1;mso-position-horizontal:center;mso-position-horizontal-relative:margin;mso-position-vertical:absolute;mso-position-vertical-relative:paragraph;height:2.000000in;width:2.000000in" filled="false">
          <v:textbox>
            <w:txbxContent>
              <w:p>
                <w:pPr>
                  <w:pStyle w:val=""/>
                </w:pPr>
                <w:r>
                  <w:rPr>
                    <w:rStyle w:val=""/>
                  </w:rPr>
                  <w:t>1</w:t>
                </w:r>
              </w:p>
            </w:txbxContent>
          </v:textbox>
        </v:shape>
      </w:pict>
    </w:r>
  </w:p>
</w:hdr>
</file>

<file path=word/foot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ind w:right="360"/>
    </w:pPr>
    <w:r>
      <w:rPr>
        <w:noProof/>
      </w:rPr>
      <w:pict>
        <v:shape type="#_x0000_t202" style="position:absolute;mso-wrap-distance-left:0.000000pt;mso-wrap-distance-right:0.000000pt;mso-wrap-distance-top:0.000000pt;mso-wrap-distance-bottom:0.000000pt;margin-left:0.000000in;margin-top:0.000000in;z-index:1;mso-position-horizontal:center;mso-position-horizontal-relative:margin;mso-position-vertical:absolute;mso-position-vertical-relative:paragraph;height:2.000000in;width:2.000000in" filled="false">
          <v:textbox>
            <w:txbxContent>
              <w:p>
                <w:pPr>
                  <w:pStyle w:val=""/>
                </w:pPr>
                <w:r>
                  <w:rPr>
                    <w:rStyle w:val=""/>
                  </w:rPr>
                  <w:t>1</w:t>
                </w:r>
              </w:p>
            </w:txbxContent>
          </v:textbox>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multiLevelType w:val="singleLevel"/>
    <w:lvl w:ilvl="0">
      <w:numFmt w:val="decimal"/>
      <w:lvlText w:val="（%1）"/>
      <w:start w:val="1"/>
      <w:lvlJc w:val="left"/>
      <w:pPr>
        <w:ind w:left="840"/>
        <w:ind w:hanging="525"/>
      </w:pPr>
      <w:rPr/>
    </w:lvl>
  </w:abstractNum>
  <w:abstractNum w:abstractNumId="11">
    <w:multiLevelType w:val="singleLevel"/>
    <w:lvl w:ilvl="0">
      <w:numFmt w:val="decimal"/>
      <w:lvlText w:val="（%1）"/>
      <w:start w:val="1"/>
      <w:lvlJc w:val="left"/>
      <w:pPr>
        <w:ind w:left="840"/>
        <w:ind w:hanging="525"/>
      </w:pPr>
      <w:rPr/>
    </w:lvl>
  </w:abstractNum>
  <w:abstractNum w:abstractNumId="12">
    <w:multiLevelType w:val="hybridMultilevel"/>
    <w:lvl w:ilvl="0">
      <w:numFmt w:val="decimal"/>
      <w:lvlText w:val="%1、"/>
      <w:start w:val="1"/>
      <w:lvlJc w:val="left"/>
      <w:pPr>
        <w:ind w:left="780"/>
        <w:ind w:hanging="360"/>
      </w:pPr>
      <w:rPr/>
    </w:lvl>
    <w:lvl w:ilvl="1">
      <w:numFmt w:val="lowerLetter"/>
      <w:lvlText w:val="%2)"/>
      <w:start w:val="1"/>
      <w:lvlJc w:val="left"/>
      <w:pPr>
        <w:ind w:left="1260"/>
        <w:ind w:hanging="420"/>
      </w:pPr>
      <w:rPr/>
    </w:lvl>
    <w:lvl w:ilvl="2">
      <w:numFmt w:val="lowerRoman"/>
      <w:lvlText w:val="%3."/>
      <w:start w:val="1"/>
      <w:lvlJc w:val="right"/>
      <w:pPr>
        <w:ind w:left="1680"/>
        <w:ind w:hanging="420"/>
      </w:pPr>
      <w:rPr/>
    </w:lvl>
    <w:lvl w:ilvl="3">
      <w:numFmt w:val="decimal"/>
      <w:lvlText w:val="%4."/>
      <w:start w:val="1"/>
      <w:lvlJc w:val="left"/>
      <w:pPr>
        <w:ind w:left="2100"/>
        <w:ind w:hanging="420"/>
      </w:pPr>
      <w:rPr/>
    </w:lvl>
    <w:lvl w:ilvl="4">
      <w:numFmt w:val="lowerLetter"/>
      <w:lvlText w:val="%5)"/>
      <w:start w:val="1"/>
      <w:lvlJc w:val="left"/>
      <w:pPr>
        <w:ind w:left="2520"/>
        <w:ind w:hanging="420"/>
      </w:pPr>
      <w:rPr/>
    </w:lvl>
    <w:lvl w:ilvl="5">
      <w:numFmt w:val="lowerRoman"/>
      <w:lvlText w:val="%6."/>
      <w:start w:val="1"/>
      <w:lvlJc w:val="right"/>
      <w:pPr>
        <w:ind w:left="2940"/>
        <w:ind w:hanging="420"/>
      </w:pPr>
      <w:rPr/>
    </w:lvl>
    <w:lvl w:ilvl="6">
      <w:numFmt w:val="decimal"/>
      <w:lvlText w:val="%7."/>
      <w:start w:val="1"/>
      <w:lvlJc w:val="left"/>
      <w:pPr>
        <w:ind w:left="3360"/>
        <w:ind w:hanging="420"/>
      </w:pPr>
      <w:rPr/>
    </w:lvl>
    <w:lvl w:ilvl="7">
      <w:numFmt w:val="lowerLetter"/>
      <w:lvlText w:val="%8)"/>
      <w:start w:val="1"/>
      <w:lvlJc w:val="left"/>
      <w:pPr>
        <w:ind w:left="3780"/>
        <w:ind w:hanging="420"/>
      </w:pPr>
      <w:rPr/>
    </w:lvl>
    <w:lvl w:ilvl="8">
      <w:numFmt w:val="lowerRoman"/>
      <w:lvlText w:val="%9."/>
      <w:start w:val="1"/>
      <w:lvlJc w:val="right"/>
      <w:pPr>
        <w:ind w:left="4200"/>
        <w:ind w:hanging="420"/>
      </w:pPr>
      <w:rPr/>
    </w:lvl>
  </w:abstractNum>
  <w:abstractNum w:abstractNumId="13">
    <w:multiLevelType w:val="singleLevel"/>
    <w:lvl w:ilvl="0">
      <w:numFmt w:val="decimal"/>
      <w:lvlText w:val="（%1）"/>
      <w:start w:val="1"/>
      <w:lvlJc w:val="left"/>
      <w:pPr>
        <w:ind w:left="795"/>
        <w:ind w:hanging="525"/>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
    <w:abstractNumId w:val="10"/>
  </w:num>
  <w:num w:numId="11">
    <w:abstractNumId w:val="11"/>
  </w:num>
  <w:num w:numId="12">
    <w:abstractNumId w:val="12"/>
  </w:num>
  <w:num w:numId="13">
    <w:abstractNumId w:val="13"/>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4"/>
    </w:rPr>
  </w:style>
  <w:style w:type="paragraph" w:styleId="1">
    <w:name w:val="标题 1"/>
    <w:qFormat/>
    <w:basedOn w:val="正文"/>
    <w:pPr>
      <w:spacing w:before="340" w:after="330" w:line="578" w:lineRule="auto"/>
    </w:pPr>
    <w:rPr>
      <w:b/>
      <w:sz w:val="44"/>
      <w:szCs w:val="44"/>
    </w:rPr>
  </w:style>
  <w:style w:type="character" w:styleId="">
    <w:name w:val="默认段落字体"/>
    <w:qFormat/>
  </w:style>
  <w:style w:type="table" w:styleId="">
    <w:name w:val="普通表格"/>
    <w:qFormat/>
    <w:pPr/>
    <w:tblPr>
      <w:tblStyle w:val="普通表格"/>
      <w:tblLook w:val="1E0"/>
    </w:tblPr>
  </w:style>
  <w:style w:type="numbering" w:styleId="">
    <w:name w:val="无列表"/>
    <w:qFormat/>
  </w:style>
  <w:style w:type="character" w:styleId="">
    <w:name w:val="访问过的超链接"/>
    <w:qFormat/>
    <w:rPr>
      <w:u w:val="single"/>
      <w:color w:val="800080"/>
    </w:rPr>
  </w:style>
  <w:style w:type="character" w:styleId="">
    <w:name w:val="超链接"/>
    <w:qFormat/>
    <w:rPr>
      <w:u w:val="single"/>
      <w:color w:val="0000FF"/>
    </w:rPr>
  </w:style>
  <w:style w:type="character" w:styleId="">
    <w:name w:val="页码"/>
    <w:qFormat/>
    <w:basedOn w:val="默认段落字体"/>
  </w:style>
  <w:style w:type="character" w:styleId="">
    <w:name w:val="批注框文本字符"/>
    <w:qFormat/>
    <w:rPr>
      <w:sz w:val="18"/>
      <w:szCs w:val="18"/>
    </w:rPr>
  </w:style>
  <w:style w:type="paragraph" w:styleId="3">
    <w:name w:val="正文文本缩进 3"/>
    <w:qFormat/>
    <w:basedOn w:val="正文"/>
    <w:pPr>
      <w:ind w:firstLine="500"/>
      <w:spacing w:line="360" w:lineRule="auto"/>
    </w:pPr>
    <w:rPr>
      <w:szCs w:val="20"/>
    </w:rPr>
  </w:style>
  <w:style w:type="paragraph" w:styleId="">
    <w:name w:val="页眉"/>
    <w:qFormat/>
    <w:basedOn w:val="正文"/>
    <w:pPr>
      <w:pBdr>
        <w:bottom w:val="single" w:sz="6" w:color="000000" w:space="1"/>
      </w:pBdr>
      <w:jc w:val="center"/>
    </w:pPr>
    <w:rPr>
      <w:sz w:val="18"/>
      <w:szCs w:val="18"/>
    </w:rPr>
  </w:style>
  <w:style w:type="paragraph" w:styleId="">
    <w:name w:val="纯文本"/>
    <w:qFormat/>
    <w:basedOn w:val="正文"/>
    <w:pPr/>
    <w:rPr>
      <w:rFonts w:ascii="SimSun" w:hAnsi="Courier New"/>
      <w:szCs w:val="21"/>
    </w:rPr>
  </w:style>
  <w:style w:type="paragraph" w:styleId="">
    <w:name w:val="页脚"/>
    <w:qFormat/>
    <w:basedOn w:val="正文"/>
    <w:pPr>
      <w:jc w:val="left"/>
    </w:pPr>
    <w:rPr>
      <w:sz w:val="18"/>
      <w:szCs w:val="20"/>
    </w:rPr>
  </w:style>
  <w:style w:type="paragraph" w:styleId="">
    <w:name w:val="批注框文本"/>
    <w:qFormat/>
    <w:basedOn w:val="正文"/>
    <w:pPr/>
    <w:rPr>
      <w:sz w:val="18"/>
      <w:szCs w:val="18"/>
    </w:rPr>
  </w:style>
  <w:style w:type="paragraph" w:styleId="">
    <w:name w:val="日期"/>
    <w:qFormat/>
    <w:basedOn w:val="正文"/>
    <w:pPr/>
    <w:rPr>
      <w:sz w:val="28"/>
      <w:szCs w:val="20"/>
    </w:rPr>
  </w:style>
  <w:style w:type="paragraph" w:styleId="">
    <w:name w:val="列出段落"/>
    <w:qFormat/>
    <w:basedOn w:val="正文"/>
    <w:pPr>
      <w:ind w:left="720"/>
      <w:contextualSpacing/>
    </w:pPr>
  </w:style>
  <w:style w:type="table" w:styleId="">
    <w:name w:val="网格型"/>
    <w:qFormat/>
    <w:basedOn w:val="普通表格"/>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
      <w:tblLook w:val="1E0"/>
    </w:tblPr>
  </w:style>
  <w:style w:type="paragraph" w:styleId="">
    <w:name w:val="无间隔"/>
    <w:qFormat/>
    <w:pPr>
      <w:jc w:val="both"/>
    </w:pPr>
    <w:rPr>
      <w:sz w:val="21"/>
      <w:szCs w:val="24"/>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